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2ABC3" w14:textId="6151C01C" w:rsidR="000E40FF" w:rsidRDefault="000E40FF">
      <w:r>
        <w:rPr>
          <w:noProof/>
        </w:rPr>
        <w:drawing>
          <wp:inline distT="0" distB="0" distL="0" distR="0" wp14:anchorId="3B4540B0" wp14:editId="0016985A">
            <wp:extent cx="6419850" cy="8833485"/>
            <wp:effectExtent l="95250" t="76200" r="95250" b="2539365"/>
            <wp:docPr id="114260808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1461" cy="8835702"/>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r>
        <w:br w:type="page"/>
      </w:r>
    </w:p>
    <w:p w14:paraId="1D148EE0" w14:textId="77777777" w:rsidR="00BA7487" w:rsidRDefault="00BA7487" w:rsidP="00C43917"/>
    <w:p w14:paraId="6119323D" w14:textId="3F577A0F" w:rsidR="00BA7487" w:rsidRPr="0056190B" w:rsidRDefault="00C76228" w:rsidP="00C43917">
      <w:pPr>
        <w:rPr>
          <w:rFonts w:ascii="Albertus Extra Bold" w:hAnsi="Albertus Extra Bold"/>
          <w:b/>
          <w:bCs/>
          <w:sz w:val="28"/>
          <w:szCs w:val="28"/>
        </w:rPr>
      </w:pPr>
      <w:r w:rsidRPr="0056190B">
        <w:rPr>
          <w:rFonts w:ascii="Albertus Extra Bold" w:hAnsi="Albertus Extra Bold"/>
          <w:b/>
          <w:bCs/>
          <w:sz w:val="28"/>
          <w:szCs w:val="28"/>
        </w:rPr>
        <w:t>NEWSLETTER</w:t>
      </w:r>
    </w:p>
    <w:p w14:paraId="1EA94812" w14:textId="77777777" w:rsidR="00C76228" w:rsidRDefault="00C76228" w:rsidP="00C43917">
      <w:pPr>
        <w:sectPr w:rsidR="00C76228">
          <w:headerReference w:type="default" r:id="rId9"/>
          <w:pgSz w:w="11910" w:h="16850"/>
          <w:pgMar w:top="800" w:right="283" w:bottom="0" w:left="850" w:header="0" w:footer="0" w:gutter="0"/>
          <w:cols w:space="720"/>
        </w:sectPr>
      </w:pPr>
    </w:p>
    <w:p w14:paraId="5F3EA252" w14:textId="7D858502" w:rsidR="00F46ADD" w:rsidRPr="001754E4" w:rsidRDefault="00F46ADD" w:rsidP="00C43917">
      <w:pPr>
        <w:rPr>
          <w:rFonts w:ascii="Book Antiqua" w:hAnsi="Book Antiqua"/>
          <w:b/>
          <w:bCs/>
          <w:u w:val="single"/>
        </w:rPr>
      </w:pPr>
      <w:r>
        <w:rPr>
          <w:rFonts w:ascii="Book Antiqua" w:hAnsi="Book Antiqua"/>
          <w:b/>
          <w:bCs/>
        </w:rPr>
        <w:t xml:space="preserve">                                             </w:t>
      </w:r>
    </w:p>
    <w:p w14:paraId="00E5FE15" w14:textId="7BF6C3D6" w:rsidR="00F46ADD" w:rsidRPr="00450EE7" w:rsidRDefault="0056190B" w:rsidP="0056190B">
      <w:pPr>
        <w:jc w:val="both"/>
        <w:rPr>
          <w:rFonts w:ascii="Times New Roman" w:hAnsi="Times New Roman" w:cs="Times New Roman"/>
          <w:sz w:val="24"/>
          <w:szCs w:val="24"/>
        </w:rPr>
      </w:pPr>
      <w:r w:rsidRPr="00450EE7">
        <w:rPr>
          <w:rFonts w:ascii="Times New Roman" w:hAnsi="Times New Roman" w:cs="Times New Roman"/>
          <w:sz w:val="24"/>
          <w:szCs w:val="24"/>
        </w:rPr>
        <w:t xml:space="preserve">This newsletter shares </w:t>
      </w:r>
      <w:r w:rsidRPr="00450EE7">
        <w:rPr>
          <w:rFonts w:ascii="Times New Roman" w:hAnsi="Times New Roman" w:cs="Times New Roman"/>
          <w:b/>
          <w:bCs/>
          <w:sz w:val="24"/>
          <w:szCs w:val="24"/>
        </w:rPr>
        <w:t>clear, practical updates on real estate law, compliance, and due diligence</w:t>
      </w:r>
      <w:r w:rsidRPr="00450EE7">
        <w:rPr>
          <w:rFonts w:ascii="Times New Roman" w:hAnsi="Times New Roman" w:cs="Times New Roman"/>
          <w:sz w:val="24"/>
          <w:szCs w:val="24"/>
        </w:rPr>
        <w:t xml:space="preserve">, helping buyers and property owners make informed decisions. We cover </w:t>
      </w:r>
      <w:r w:rsidRPr="00450EE7">
        <w:rPr>
          <w:rFonts w:ascii="Times New Roman" w:hAnsi="Times New Roman" w:cs="Times New Roman"/>
          <w:b/>
          <w:bCs/>
          <w:sz w:val="24"/>
          <w:szCs w:val="24"/>
        </w:rPr>
        <w:t>legal changes, registration updates, and buyer-focused insights</w:t>
      </w:r>
      <w:r w:rsidRPr="00450EE7">
        <w:rPr>
          <w:rFonts w:ascii="Times New Roman" w:hAnsi="Times New Roman" w:cs="Times New Roman"/>
          <w:sz w:val="24"/>
          <w:szCs w:val="24"/>
        </w:rPr>
        <w:t xml:space="preserve"> to help you avoid risks and navigate property transactions with confidence.</w:t>
      </w:r>
    </w:p>
    <w:p w14:paraId="344DE477" w14:textId="77777777" w:rsidR="00C76228" w:rsidRPr="00456405" w:rsidRDefault="00C76228" w:rsidP="00C43917">
      <w:pPr>
        <w:rPr>
          <w:rFonts w:ascii="Book Antiqua" w:hAnsi="Book Antiqua"/>
        </w:rPr>
      </w:pPr>
    </w:p>
    <w:p w14:paraId="30D633EC" w14:textId="77777777" w:rsidR="005F6133" w:rsidRDefault="005F6133" w:rsidP="00C43917">
      <w:pPr>
        <w:rPr>
          <w:rFonts w:ascii="Book Antiqua" w:hAnsi="Book Antiqua"/>
        </w:rPr>
      </w:pPr>
    </w:p>
    <w:p w14:paraId="2477F6BA" w14:textId="77777777" w:rsidR="002B1154" w:rsidRDefault="0080134B" w:rsidP="002B1154">
      <w:pPr>
        <w:jc w:val="both"/>
        <w:rPr>
          <w:rFonts w:ascii="Albertus Extra Bold" w:hAnsi="Albertus Extra Bold"/>
          <w:b/>
          <w:bCs/>
          <w:sz w:val="24"/>
          <w:szCs w:val="24"/>
        </w:rPr>
      </w:pPr>
      <w:r>
        <w:rPr>
          <w:rFonts w:ascii="Segoe UI Emoji" w:hAnsi="Segoe UI Emoji" w:cs="Segoe UI Emoji"/>
        </w:rPr>
        <w:t>🔹</w:t>
      </w:r>
      <w:r w:rsidRPr="00726685">
        <w:rPr>
          <w:rFonts w:ascii="Albertus Extra Bold" w:hAnsi="Albertus Extra Bold"/>
          <w:sz w:val="24"/>
          <w:szCs w:val="24"/>
        </w:rPr>
        <w:t xml:space="preserve"> </w:t>
      </w:r>
      <w:r w:rsidR="002B1154" w:rsidRPr="002B1154">
        <w:rPr>
          <w:rFonts w:ascii="Albertus Extra Bold" w:hAnsi="Albertus Extra Bold"/>
          <w:b/>
          <w:bCs/>
          <w:sz w:val="24"/>
          <w:szCs w:val="24"/>
        </w:rPr>
        <w:t>Can tenants claim ownership after decades of occupancy? SC clarifies</w:t>
      </w:r>
    </w:p>
    <w:p w14:paraId="533CC425" w14:textId="77777777" w:rsidR="00DC0936" w:rsidRPr="002B1154" w:rsidRDefault="00DC0936" w:rsidP="002B1154">
      <w:pPr>
        <w:jc w:val="both"/>
        <w:rPr>
          <w:rFonts w:ascii="Albertus Extra Bold" w:hAnsi="Albertus Extra Bold"/>
          <w:b/>
          <w:bCs/>
          <w:sz w:val="24"/>
          <w:szCs w:val="24"/>
        </w:rPr>
      </w:pPr>
    </w:p>
    <w:p w14:paraId="2D3D461B" w14:textId="625AB667" w:rsidR="0080134B" w:rsidRDefault="002B1154" w:rsidP="002B1154">
      <w:pPr>
        <w:jc w:val="both"/>
        <w:rPr>
          <w:rFonts w:ascii="Times New Roman" w:hAnsi="Times New Roman" w:cs="Times New Roman"/>
          <w:sz w:val="24"/>
          <w:szCs w:val="24"/>
        </w:rPr>
      </w:pPr>
      <w:r w:rsidRPr="002B1154">
        <w:rPr>
          <w:rFonts w:ascii="Times New Roman" w:hAnsi="Times New Roman" w:cs="Times New Roman"/>
          <w:sz w:val="24"/>
          <w:szCs w:val="24"/>
        </w:rPr>
        <w:t xml:space="preserve">The Supreme Court has clarified that </w:t>
      </w:r>
      <w:r w:rsidRPr="002B1154">
        <w:rPr>
          <w:rFonts w:ascii="Times New Roman" w:hAnsi="Times New Roman" w:cs="Times New Roman"/>
          <w:b/>
          <w:bCs/>
          <w:sz w:val="24"/>
          <w:szCs w:val="24"/>
        </w:rPr>
        <w:t>tenants cannot claim ownership of a property simply because they have occupied it for decades</w:t>
      </w:r>
      <w:r w:rsidRPr="002B1154">
        <w:rPr>
          <w:rFonts w:ascii="Times New Roman" w:hAnsi="Times New Roman" w:cs="Times New Roman"/>
          <w:sz w:val="24"/>
          <w:szCs w:val="24"/>
        </w:rPr>
        <w:t>. In a case involving a shop rented in 1953, the court ordered eviction of tenants who had stopped paying rent in 2000 but continued occupying the premises. It ruled that tenancy is based on the landlord’s permission, so long-term possession does not convert into ownership or “adverse possession.” The court also directed the tenants to clear rent arrears accumulated over more than 25 years.</w:t>
      </w:r>
    </w:p>
    <w:p w14:paraId="1F3E3873" w14:textId="4A5CC5DF" w:rsidR="002B1154" w:rsidRPr="00726685" w:rsidRDefault="002B1154" w:rsidP="002B1154">
      <w:pPr>
        <w:jc w:val="both"/>
        <w:rPr>
          <w:rFonts w:ascii="Times New Roman" w:hAnsi="Times New Roman" w:cs="Times New Roman"/>
          <w:sz w:val="24"/>
          <w:szCs w:val="24"/>
        </w:rPr>
      </w:pPr>
      <w:hyperlink r:id="rId10" w:history="1">
        <w:r w:rsidRPr="002B1154">
          <w:rPr>
            <w:rStyle w:val="Hyperlink"/>
            <w:rFonts w:ascii="Times New Roman" w:hAnsi="Times New Roman" w:cs="Times New Roman"/>
            <w:sz w:val="24"/>
            <w:szCs w:val="24"/>
          </w:rPr>
          <w:t>Read More</w:t>
        </w:r>
      </w:hyperlink>
    </w:p>
    <w:p w14:paraId="2492A566" w14:textId="77777777" w:rsidR="00C76228" w:rsidRPr="00F46ADD" w:rsidRDefault="00C76228" w:rsidP="00C43917">
      <w:pPr>
        <w:rPr>
          <w:rFonts w:ascii="Book Antiqua" w:hAnsi="Book Antiqua"/>
        </w:rPr>
      </w:pPr>
    </w:p>
    <w:p w14:paraId="536A3E79" w14:textId="77777777" w:rsidR="005E2755" w:rsidRDefault="0080134B" w:rsidP="005E2755">
      <w:pPr>
        <w:rPr>
          <w:rFonts w:ascii="Albertus Extra Bold" w:hAnsi="Albertus Extra Bold"/>
          <w:b/>
          <w:bCs/>
        </w:rPr>
      </w:pPr>
      <w:r>
        <w:rPr>
          <w:rFonts w:ascii="Segoe UI Emoji" w:hAnsi="Segoe UI Emoji" w:cs="Segoe UI Emoji"/>
        </w:rPr>
        <w:t>🔹</w:t>
      </w:r>
      <w:r w:rsidRPr="001645A9">
        <w:rPr>
          <w:rFonts w:ascii="Book Antiqua" w:hAnsi="Book Antiqua"/>
        </w:rPr>
        <w:t xml:space="preserve"> </w:t>
      </w:r>
      <w:r w:rsidR="005E2755" w:rsidRPr="005E2755">
        <w:rPr>
          <w:rFonts w:ascii="Albertus Extra Bold" w:hAnsi="Albertus Extra Bold"/>
          <w:b/>
          <w:bCs/>
        </w:rPr>
        <w:t>Understanding RERA 2.0: 5 important changes every homebuyer and developer must know</w:t>
      </w:r>
    </w:p>
    <w:p w14:paraId="20AC7FA1" w14:textId="77777777" w:rsidR="00DC0936" w:rsidRPr="005E2755" w:rsidRDefault="00DC0936" w:rsidP="005E2755">
      <w:pPr>
        <w:rPr>
          <w:rFonts w:ascii="Albertus Extra Bold" w:hAnsi="Albertus Extra Bold"/>
          <w:b/>
          <w:bCs/>
        </w:rPr>
      </w:pPr>
    </w:p>
    <w:p w14:paraId="21D8D510" w14:textId="756D7B21" w:rsidR="005E2755" w:rsidRDefault="005E2755" w:rsidP="000363D2">
      <w:pPr>
        <w:jc w:val="both"/>
        <w:rPr>
          <w:rFonts w:ascii="Book Antiqua" w:hAnsi="Book Antiqua"/>
        </w:rPr>
      </w:pPr>
      <w:r w:rsidRPr="005E2755">
        <w:rPr>
          <w:rFonts w:ascii="Book Antiqua" w:hAnsi="Book Antiqua"/>
        </w:rPr>
        <w:t>RERA 2.0 introduces stronger rules to improve transparency and protect homebuyers in India’s real estate market. The key changes include stricter penalties for delayed projects, mandatory third-party audits of project funds, faster digital complaint resolution, wider coverage of ongoing projects under RERA, and standardized builder-buyer agreements to reduce unfair clauses. These reforms aim to increase accountability for developers and give homebuyers greater legal protection.</w:t>
      </w:r>
    </w:p>
    <w:p w14:paraId="6A08FFD8" w14:textId="2B92E7CB" w:rsidR="005E2755" w:rsidRDefault="005E2755" w:rsidP="005E2755">
      <w:pPr>
        <w:rPr>
          <w:rFonts w:ascii="Book Antiqua" w:hAnsi="Book Antiqua"/>
        </w:rPr>
      </w:pPr>
      <w:hyperlink r:id="rId11" w:history="1">
        <w:r w:rsidRPr="005E2755">
          <w:rPr>
            <w:rStyle w:val="Hyperlink"/>
            <w:rFonts w:ascii="Book Antiqua" w:hAnsi="Book Antiqua"/>
          </w:rPr>
          <w:t>Read More</w:t>
        </w:r>
      </w:hyperlink>
    </w:p>
    <w:p w14:paraId="6943C470" w14:textId="77777777" w:rsidR="005E2755" w:rsidRPr="005E2755" w:rsidRDefault="005E2755" w:rsidP="005E2755">
      <w:pPr>
        <w:rPr>
          <w:rFonts w:ascii="Book Antiqua" w:hAnsi="Book Antiqua"/>
        </w:rPr>
      </w:pPr>
    </w:p>
    <w:p w14:paraId="2B09F354" w14:textId="2DEB8120" w:rsidR="0080134B" w:rsidRPr="00726685" w:rsidRDefault="0080134B" w:rsidP="002B1154">
      <w:pPr>
        <w:rPr>
          <w:rFonts w:ascii="Times New Roman" w:hAnsi="Times New Roman" w:cs="Times New Roman"/>
          <w:sz w:val="24"/>
          <w:szCs w:val="24"/>
        </w:rPr>
      </w:pPr>
    </w:p>
    <w:p w14:paraId="51DC8688" w14:textId="2A589006" w:rsidR="00BA7487" w:rsidRPr="00F46ADD" w:rsidRDefault="00BA7487" w:rsidP="0080134B">
      <w:pPr>
        <w:rPr>
          <w:rFonts w:ascii="Book Antiqua" w:hAnsi="Book Antiqua"/>
        </w:rPr>
      </w:pPr>
    </w:p>
    <w:p w14:paraId="1421E0B5" w14:textId="77777777" w:rsidR="00BA7487" w:rsidRDefault="00000000" w:rsidP="00C43917">
      <w:r>
        <w:br w:type="column"/>
      </w:r>
    </w:p>
    <w:p w14:paraId="1E2C4141" w14:textId="77777777" w:rsidR="00746FAE" w:rsidRDefault="00746FAE" w:rsidP="00C43917"/>
    <w:p w14:paraId="246E465F" w14:textId="77777777" w:rsidR="00746FAE" w:rsidRDefault="00746FAE" w:rsidP="00C43917"/>
    <w:p w14:paraId="358418DF" w14:textId="77777777" w:rsidR="00746FAE" w:rsidRDefault="00746FAE" w:rsidP="00C43917"/>
    <w:p w14:paraId="4BD1462B" w14:textId="77777777" w:rsidR="00746FAE" w:rsidRDefault="00746FAE" w:rsidP="00C43917"/>
    <w:p w14:paraId="2C9C3D28" w14:textId="77777777" w:rsidR="00746FAE" w:rsidRDefault="00746FAE" w:rsidP="00C43917"/>
    <w:p w14:paraId="72B6364D" w14:textId="55BDDA87" w:rsidR="00BA7487" w:rsidRDefault="00746FAE" w:rsidP="00C43917">
      <w:r>
        <w:rPr>
          <w:noProof/>
        </w:rPr>
        <w:drawing>
          <wp:inline distT="0" distB="0" distL="0" distR="0" wp14:anchorId="6F754A40" wp14:editId="659E9C3F">
            <wp:extent cx="3034030" cy="3939540"/>
            <wp:effectExtent l="190500" t="190500" r="185420" b="194310"/>
            <wp:docPr id="1714729955" name="Picture 12" descr="Real Estate Stock Photos, Images and Backgrounds for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al Estate Stock Photos, Images and Backgrounds for Free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34030" cy="3939540"/>
                    </a:xfrm>
                    <a:prstGeom prst="rect">
                      <a:avLst/>
                    </a:prstGeom>
                    <a:ln>
                      <a:noFill/>
                    </a:ln>
                    <a:effectLst>
                      <a:outerShdw blurRad="190500" algn="tl" rotWithShape="0">
                        <a:srgbClr val="000000">
                          <a:alpha val="70000"/>
                        </a:srgbClr>
                      </a:outerShdw>
                    </a:effectLst>
                  </pic:spPr>
                </pic:pic>
              </a:graphicData>
            </a:graphic>
          </wp:inline>
        </w:drawing>
      </w:r>
    </w:p>
    <w:p w14:paraId="534E0ACD" w14:textId="67D9193C" w:rsidR="00BA7487" w:rsidRDefault="002740D4" w:rsidP="00C43917">
      <w:r>
        <w:rPr>
          <w:noProof/>
        </w:rPr>
        <w:drawing>
          <wp:inline distT="0" distB="0" distL="0" distR="0" wp14:anchorId="0F3DBDA1" wp14:editId="0D07592A">
            <wp:extent cx="3079567" cy="2917825"/>
            <wp:effectExtent l="190500" t="190500" r="197485" b="187325"/>
            <wp:docPr id="1552156910" name="Picture 9" descr="UPRERA unveils transparency drive in UP Real Estate Pro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PRERA unveils transparency drive in UP Real Estate Project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00471" cy="2937631"/>
                    </a:xfrm>
                    <a:prstGeom prst="rect">
                      <a:avLst/>
                    </a:prstGeom>
                    <a:ln>
                      <a:noFill/>
                    </a:ln>
                    <a:effectLst>
                      <a:outerShdw blurRad="190500" algn="tl" rotWithShape="0">
                        <a:srgbClr val="000000">
                          <a:alpha val="70000"/>
                        </a:srgbClr>
                      </a:outerShdw>
                    </a:effectLst>
                  </pic:spPr>
                </pic:pic>
              </a:graphicData>
            </a:graphic>
          </wp:inline>
        </w:drawing>
      </w:r>
    </w:p>
    <w:p w14:paraId="74014ACA" w14:textId="645661EE" w:rsidR="00C76228" w:rsidRDefault="00C76228" w:rsidP="00C43917"/>
    <w:p w14:paraId="4FF9954B" w14:textId="2D607E58" w:rsidR="00BA7487" w:rsidRDefault="00BA7487" w:rsidP="00C43917">
      <w:pPr>
        <w:sectPr w:rsidR="00BA7487">
          <w:type w:val="continuous"/>
          <w:pgSz w:w="11910" w:h="16850"/>
          <w:pgMar w:top="800" w:right="283" w:bottom="280" w:left="850" w:header="0" w:footer="0" w:gutter="0"/>
          <w:cols w:num="2" w:space="720" w:equalWidth="0">
            <w:col w:w="4778" w:space="814"/>
            <w:col w:w="5185"/>
          </w:cols>
        </w:sectPr>
      </w:pPr>
    </w:p>
    <w:p w14:paraId="42FA2A15" w14:textId="47AB26C7" w:rsidR="00BA7487" w:rsidRDefault="00000000" w:rsidP="00C43917">
      <w:pPr>
        <w:sectPr w:rsidR="00BA7487">
          <w:type w:val="continuous"/>
          <w:pgSz w:w="11910" w:h="16850"/>
          <w:pgMar w:top="800" w:right="283" w:bottom="280" w:left="850" w:header="0" w:footer="0" w:gutter="0"/>
          <w:cols w:space="720"/>
        </w:sectPr>
      </w:pPr>
      <w:r>
        <w:rPr>
          <w:noProof/>
        </w:rPr>
        <mc:AlternateContent>
          <mc:Choice Requires="wps">
            <w:drawing>
              <wp:anchor distT="0" distB="0" distL="0" distR="0" simplePos="0" relativeHeight="251669504" behindDoc="1" locked="0" layoutInCell="1" allowOverlap="1" wp14:anchorId="245991EF" wp14:editId="1B4037F9">
                <wp:simplePos x="0" y="0"/>
                <wp:positionH relativeFrom="page">
                  <wp:posOffset>0</wp:posOffset>
                </wp:positionH>
                <wp:positionV relativeFrom="page">
                  <wp:posOffset>3045797</wp:posOffset>
                </wp:positionV>
                <wp:extent cx="656590" cy="105981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6E29D527" id="Graphic 16" o:spid="_x0000_s1026" style="position:absolute;margin-left:0;margin-top:239.85pt;width:51.7pt;height:83.45pt;z-index:-251646976;visibility:visible;mso-wrap-style:square;mso-wrap-distance-left:0;mso-wrap-distance-top:0;mso-wrap-distance-right:0;mso-wrap-distance-bottom:0;mso-position-horizontal:absolute;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r>
        <w:rPr>
          <w:noProof/>
        </w:rPr>
        <mc:AlternateContent>
          <mc:Choice Requires="wpg">
            <w:drawing>
              <wp:anchor distT="0" distB="0" distL="0" distR="0" simplePos="0" relativeHeight="251672576" behindDoc="1" locked="0" layoutInCell="1" allowOverlap="1" wp14:anchorId="09AFFD23" wp14:editId="3F8EEB9A">
                <wp:simplePos x="0" y="0"/>
                <wp:positionH relativeFrom="page">
                  <wp:posOffset>0</wp:posOffset>
                </wp:positionH>
                <wp:positionV relativeFrom="page">
                  <wp:posOffset>9000094</wp:posOffset>
                </wp:positionV>
                <wp:extent cx="7562850" cy="169672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1696720"/>
                          <a:chOff x="0" y="0"/>
                          <a:chExt cx="7562850" cy="1696720"/>
                        </a:xfrm>
                      </wpg:grpSpPr>
                      <wps:wsp>
                        <wps:cNvPr id="18" name="Graphic 18"/>
                        <wps:cNvSpPr/>
                        <wps:spPr>
                          <a:xfrm>
                            <a:off x="0" y="0"/>
                            <a:ext cx="727075" cy="1038860"/>
                          </a:xfrm>
                          <a:custGeom>
                            <a:avLst/>
                            <a:gdLst/>
                            <a:ahLst/>
                            <a:cxnLst/>
                            <a:rect l="l" t="t" r="r" b="b"/>
                            <a:pathLst>
                              <a:path w="727075" h="1038860">
                                <a:moveTo>
                                  <a:pt x="561228" y="672018"/>
                                </a:moveTo>
                                <a:lnTo>
                                  <a:pt x="0" y="1038679"/>
                                </a:lnTo>
                                <a:lnTo>
                                  <a:pt x="0" y="164646"/>
                                </a:lnTo>
                                <a:lnTo>
                                  <a:pt x="161023" y="59446"/>
                                </a:lnTo>
                                <a:lnTo>
                                  <a:pt x="201002" y="36732"/>
                                </a:lnTo>
                                <a:lnTo>
                                  <a:pt x="242550" y="19530"/>
                                </a:lnTo>
                                <a:lnTo>
                                  <a:pt x="285193" y="7740"/>
                                </a:lnTo>
                                <a:lnTo>
                                  <a:pt x="328455" y="1263"/>
                                </a:lnTo>
                                <a:lnTo>
                                  <a:pt x="371863" y="0"/>
                                </a:lnTo>
                                <a:lnTo>
                                  <a:pt x="414942" y="3850"/>
                                </a:lnTo>
                                <a:lnTo>
                                  <a:pt x="457216" y="12714"/>
                                </a:lnTo>
                                <a:lnTo>
                                  <a:pt x="498213" y="26493"/>
                                </a:lnTo>
                                <a:lnTo>
                                  <a:pt x="537457" y="45088"/>
                                </a:lnTo>
                                <a:lnTo>
                                  <a:pt x="574473" y="68399"/>
                                </a:lnTo>
                                <a:lnTo>
                                  <a:pt x="608787" y="96325"/>
                                </a:lnTo>
                                <a:lnTo>
                                  <a:pt x="639925" y="128769"/>
                                </a:lnTo>
                                <a:lnTo>
                                  <a:pt x="674896" y="178803"/>
                                </a:lnTo>
                                <a:lnTo>
                                  <a:pt x="707328" y="247157"/>
                                </a:lnTo>
                                <a:lnTo>
                                  <a:pt x="719118" y="289799"/>
                                </a:lnTo>
                                <a:lnTo>
                                  <a:pt x="725595" y="333062"/>
                                </a:lnTo>
                                <a:lnTo>
                                  <a:pt x="726859" y="376469"/>
                                </a:lnTo>
                                <a:lnTo>
                                  <a:pt x="723008" y="419548"/>
                                </a:lnTo>
                                <a:lnTo>
                                  <a:pt x="714144" y="461823"/>
                                </a:lnTo>
                                <a:lnTo>
                                  <a:pt x="700365" y="502819"/>
                                </a:lnTo>
                                <a:lnTo>
                                  <a:pt x="681770" y="542063"/>
                                </a:lnTo>
                                <a:lnTo>
                                  <a:pt x="658459" y="579080"/>
                                </a:lnTo>
                                <a:lnTo>
                                  <a:pt x="630533" y="613394"/>
                                </a:lnTo>
                                <a:lnTo>
                                  <a:pt x="598089" y="644532"/>
                                </a:lnTo>
                                <a:lnTo>
                                  <a:pt x="561228" y="672018"/>
                                </a:lnTo>
                                <a:close/>
                              </a:path>
                            </a:pathLst>
                          </a:custGeom>
                          <a:solidFill>
                            <a:srgbClr val="7D2500"/>
                          </a:solidFill>
                        </wps:spPr>
                        <wps:bodyPr wrap="square" lIns="0" tIns="0" rIns="0" bIns="0" rtlCol="0">
                          <a:prstTxWarp prst="textNoShape">
                            <a:avLst/>
                          </a:prstTxWarp>
                          <a:noAutofit/>
                        </wps:bodyPr>
                      </wps:wsp>
                      <wps:wsp>
                        <wps:cNvPr id="19" name="Graphic 19"/>
                        <wps:cNvSpPr/>
                        <wps:spPr>
                          <a:xfrm>
                            <a:off x="0" y="711998"/>
                            <a:ext cx="451484" cy="513080"/>
                          </a:xfrm>
                          <a:custGeom>
                            <a:avLst/>
                            <a:gdLst/>
                            <a:ahLst/>
                            <a:cxnLst/>
                            <a:rect l="l" t="t" r="r" b="b"/>
                            <a:pathLst>
                              <a:path w="451484" h="513080">
                                <a:moveTo>
                                  <a:pt x="387658" y="259380"/>
                                </a:moveTo>
                                <a:lnTo>
                                  <a:pt x="0" y="512645"/>
                                </a:lnTo>
                                <a:lnTo>
                                  <a:pt x="0" y="175109"/>
                                </a:lnTo>
                                <a:lnTo>
                                  <a:pt x="233107" y="22816"/>
                                </a:lnTo>
                                <a:lnTo>
                                  <a:pt x="274433" y="4421"/>
                                </a:lnTo>
                                <a:lnTo>
                                  <a:pt x="317872" y="0"/>
                                </a:lnTo>
                                <a:lnTo>
                                  <a:pt x="360205" y="8876"/>
                                </a:lnTo>
                                <a:lnTo>
                                  <a:pt x="398210" y="30376"/>
                                </a:lnTo>
                                <a:lnTo>
                                  <a:pt x="428713" y="63791"/>
                                </a:lnTo>
                                <a:lnTo>
                                  <a:pt x="447060" y="105148"/>
                                </a:lnTo>
                                <a:lnTo>
                                  <a:pt x="451481" y="148588"/>
                                </a:lnTo>
                                <a:lnTo>
                                  <a:pt x="442605" y="190920"/>
                                </a:lnTo>
                                <a:lnTo>
                                  <a:pt x="421105" y="228925"/>
                                </a:lnTo>
                                <a:lnTo>
                                  <a:pt x="387658" y="259380"/>
                                </a:lnTo>
                                <a:close/>
                              </a:path>
                            </a:pathLst>
                          </a:custGeom>
                          <a:solidFill>
                            <a:srgbClr val="AC785B"/>
                          </a:solidFill>
                        </wps:spPr>
                        <wps:bodyPr wrap="square" lIns="0" tIns="0" rIns="0" bIns="0" rtlCol="0">
                          <a:prstTxWarp prst="textNoShape">
                            <a:avLst/>
                          </a:prstTxWarp>
                          <a:noAutofit/>
                        </wps:bodyPr>
                      </wps:wsp>
                      <wps:wsp>
                        <wps:cNvPr id="20" name="Graphic 20"/>
                        <wps:cNvSpPr/>
                        <wps:spPr>
                          <a:xfrm>
                            <a:off x="0" y="1156622"/>
                            <a:ext cx="7562850" cy="54038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wpg:wgp>
                  </a:graphicData>
                </a:graphic>
              </wp:anchor>
            </w:drawing>
          </mc:Choice>
          <mc:Fallback>
            <w:pict>
              <v:group w14:anchorId="5338B288" id="Group 17" o:spid="_x0000_s1026" style="position:absolute;margin-left:0;margin-top:708.65pt;width:595.5pt;height:133.6pt;z-index:-251643904;mso-wrap-distance-left:0;mso-wrap-distance-right:0;mso-position-horizontal-relative:page;mso-position-vertical-relative:page" coordsize="75628,16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">
                <v:shape id="Graphic 18" o:spid="_x0000_s1027" style="position:absolute;width:7270;height:10388;visibility:visible;mso-wrap-style:square;v-text-anchor:top" coordsize="727075,1038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" path="m561228,672018l,1038679,,164646,161023,59446,201002,36732,242550,19530,285193,7740,328455,1263,371863,r43079,3850l457216,12714r40997,13779l537457,45088r37016,23311l608787,96325r31138,32444l674896,178803r32432,68354l719118,289799r6477,43263l726859,376469r-3851,43079l714144,461823r-13779,40996l681770,542063r-23311,37017l630533,613394r-32444,31138l561228,672018xe" fillcolor="#7d2500" stroked="f">
                  <v:path arrowok="t"/>
                </v:shape>
                <v:shape id="Graphic 19" o:spid="_x0000_s1028" style="position:absolute;top:7119;width:4514;height:5131;visibility:visible;mso-wrap-style:square;v-text-anchor:top" coordsize="451484,51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" path="m387658,259380l,512645,,175109,233107,22816,274433,4421,317872,r42333,8876l398210,30376r30503,33415l447060,105148r4421,43440l442605,190920r-21500,38005l387658,259380xe" fillcolor="#ac785b" stroked="f">
                  <v:path arrowok="t"/>
                </v:shape>
                <v:shape id="Graphic 20" o:spid="_x0000_s1029" style="position:absolute;top:11566;width:75628;height:5404;visibility:visible;mso-wrap-style:square;v-text-anchor:top" coordsize="7562850,54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" path="m7562849,539856l,539856,,,7562849,r,539856xe" fillcolor="#7d2500" stroked="f">
                  <v:path arrowok="t"/>
                </v:shape>
                <w10:wrap anchorx="page" anchory="page"/>
              </v:group>
            </w:pict>
          </mc:Fallback>
        </mc:AlternateContent>
      </w:r>
      <w:r>
        <w:rPr>
          <w:noProof/>
        </w:rPr>
        <mc:AlternateContent>
          <mc:Choice Requires="wpg">
            <w:drawing>
              <wp:anchor distT="0" distB="0" distL="0" distR="0" simplePos="0" relativeHeight="251644928" behindDoc="0" locked="0" layoutInCell="1" allowOverlap="1" wp14:anchorId="68F13C26" wp14:editId="099D6968">
                <wp:simplePos x="0" y="0"/>
                <wp:positionH relativeFrom="page">
                  <wp:posOffset>6178055</wp:posOffset>
                </wp:positionH>
                <wp:positionV relativeFrom="page">
                  <wp:posOffset>523657</wp:posOffset>
                </wp:positionV>
                <wp:extent cx="1384935" cy="146875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935" cy="1468755"/>
                          <a:chOff x="0" y="0"/>
                          <a:chExt cx="1384935" cy="1468755"/>
                        </a:xfrm>
                      </wpg:grpSpPr>
                      <wps:wsp>
                        <wps:cNvPr id="22"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23"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anchor>
            </w:drawing>
          </mc:Choice>
          <mc:Fallback>
            <w:pict>
              <v:group w14:anchorId="2A57B8B4" id="Group 21" o:spid="_x0000_s1026" style="position:absolute;margin-left:486.45pt;margin-top:41.25pt;width:109.05pt;height:115.65pt;z-index:251644928;mso-wrap-distance-left:0;mso-wrap-distance-right:0;mso-position-horizontal-relative:page;mso-position-vertical-relative:page"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p>
    <w:p w14:paraId="2A22D1DA" w14:textId="77777777" w:rsidR="000C664D" w:rsidRDefault="000C664D" w:rsidP="00C43917">
      <w:pPr>
        <w:rPr>
          <w:rFonts w:ascii="Book Antiqua" w:hAnsi="Book Antiqua"/>
        </w:rPr>
      </w:pPr>
    </w:p>
    <w:p w14:paraId="743ADD79" w14:textId="77777777" w:rsidR="000C664D" w:rsidRDefault="000C664D" w:rsidP="00C43917">
      <w:pPr>
        <w:rPr>
          <w:rFonts w:ascii="Book Antiqua" w:hAnsi="Book Antiqua"/>
        </w:rPr>
      </w:pPr>
    </w:p>
    <w:p w14:paraId="0ABFF683" w14:textId="21BA231A" w:rsidR="0056190B" w:rsidRDefault="0056190B" w:rsidP="0080134B">
      <w:pPr>
        <w:rPr>
          <w:rFonts w:ascii="Book Antiqua" w:hAnsi="Book Antiqua"/>
        </w:rPr>
      </w:pPr>
    </w:p>
    <w:p w14:paraId="178D2590" w14:textId="77777777" w:rsidR="005E2755" w:rsidRDefault="0056190B" w:rsidP="00F661D2">
      <w:pPr>
        <w:rPr>
          <w:rFonts w:ascii="Albertus Extra Bold" w:hAnsi="Albertus Extra Bold"/>
          <w:b/>
          <w:bCs/>
        </w:rPr>
      </w:pPr>
      <w:r>
        <w:rPr>
          <w:rFonts w:ascii="Segoe UI Emoji" w:hAnsi="Segoe UI Emoji" w:cs="Segoe UI Emoji"/>
        </w:rPr>
        <w:t>🔹</w:t>
      </w:r>
      <w:r w:rsidRPr="0056190B">
        <w:rPr>
          <w:rFonts w:ascii="Book Antiqua" w:hAnsi="Book Antiqua"/>
        </w:rPr>
        <w:t xml:space="preserve"> </w:t>
      </w:r>
      <w:r w:rsidR="005E2755" w:rsidRPr="005E2755">
        <w:rPr>
          <w:rFonts w:ascii="Albertus Extra Bold" w:hAnsi="Albertus Extra Bold"/>
          <w:b/>
          <w:bCs/>
        </w:rPr>
        <w:t>There is no repugnancy between provisions of RERA and Karnataka Apartment Ownership Act: Karnataka High Court</w:t>
      </w:r>
    </w:p>
    <w:p w14:paraId="1D4FBAFE" w14:textId="77777777" w:rsidR="005E2755" w:rsidRDefault="005E2755" w:rsidP="00F661D2">
      <w:pPr>
        <w:rPr>
          <w:rFonts w:ascii="Albertus Extra Bold" w:hAnsi="Albertus Extra Bold"/>
          <w:b/>
          <w:bCs/>
        </w:rPr>
      </w:pPr>
    </w:p>
    <w:p w14:paraId="14BDDE99" w14:textId="1E3F1636" w:rsidR="005E2755" w:rsidRDefault="005E2755" w:rsidP="00F661D2">
      <w:pPr>
        <w:jc w:val="both"/>
        <w:rPr>
          <w:rFonts w:ascii="Book Antiqua" w:hAnsi="Book Antiqua"/>
        </w:rPr>
      </w:pPr>
      <w:r w:rsidRPr="005E2755">
        <w:rPr>
          <w:rFonts w:ascii="Book Antiqua" w:hAnsi="Book Antiqua"/>
        </w:rPr>
        <w:t>The Karnataka High Court has ruled that there is no conflict (“repugnancy”) between the Real Estate (Regulation and Development) Act (RERA) and the Karnataka Apartment Ownership Act (KAOA). The court clarified that both laws serve different but complementary purposes—RERA regulates developers and protects homebuyers during project development, while KAOA governs the ownership and management of completed apartments by owners’ associations. Therefore, both laws can operate together without overriding each other.</w:t>
      </w:r>
    </w:p>
    <w:p w14:paraId="2ED2F1C1" w14:textId="4C71D7AE" w:rsidR="005E2755" w:rsidRPr="005E2755" w:rsidRDefault="005E2755" w:rsidP="00F661D2">
      <w:pPr>
        <w:rPr>
          <w:rFonts w:ascii="Book Antiqua" w:hAnsi="Book Antiqua"/>
        </w:rPr>
      </w:pPr>
      <w:hyperlink r:id="rId14" w:history="1">
        <w:r w:rsidRPr="005E2755">
          <w:rPr>
            <w:rStyle w:val="Hyperlink"/>
            <w:rFonts w:ascii="Book Antiqua" w:hAnsi="Book Antiqua"/>
          </w:rPr>
          <w:t>Read More</w:t>
        </w:r>
      </w:hyperlink>
    </w:p>
    <w:p w14:paraId="0C498622" w14:textId="1CE6B5CB" w:rsidR="0056190B" w:rsidRPr="005E2755" w:rsidRDefault="0056190B" w:rsidP="00F661D2">
      <w:pPr>
        <w:rPr>
          <w:rFonts w:ascii="Book Antiqua" w:hAnsi="Book Antiqua"/>
          <w:sz w:val="24"/>
          <w:szCs w:val="24"/>
        </w:rPr>
      </w:pPr>
    </w:p>
    <w:p w14:paraId="1B716546" w14:textId="03DF213D" w:rsidR="003311B9" w:rsidRPr="003311B9" w:rsidRDefault="0080134B" w:rsidP="003311B9">
      <w:pPr>
        <w:rPr>
          <w:rFonts w:ascii="Segoe UI Emoji" w:hAnsi="Segoe UI Emoji" w:cs="Segoe UI Emoji"/>
          <w:b/>
          <w:bCs/>
          <w:sz w:val="20"/>
          <w:szCs w:val="20"/>
        </w:rPr>
      </w:pPr>
      <w:r>
        <w:rPr>
          <w:rFonts w:ascii="Segoe UI Emoji" w:hAnsi="Segoe UI Emoji" w:cs="Segoe UI Emoji"/>
        </w:rPr>
        <w:t>🔹</w:t>
      </w:r>
      <w:r w:rsidR="003311B9" w:rsidRPr="003311B9">
        <w:rPr>
          <w:rFonts w:ascii="Arial" w:eastAsia="Times New Roman" w:hAnsi="Arial" w:cs="Arial"/>
          <w:b/>
          <w:bCs/>
          <w:color w:val="282828"/>
          <w:kern w:val="36"/>
          <w:sz w:val="68"/>
          <w:szCs w:val="68"/>
        </w:rPr>
        <w:t xml:space="preserve"> </w:t>
      </w:r>
      <w:r w:rsidR="003311B9" w:rsidRPr="003311B9">
        <w:rPr>
          <w:rFonts w:ascii="Albertus Extra Bold" w:hAnsi="Albertus Extra Bold" w:cs="Segoe UI Emoji"/>
          <w:b/>
          <w:bCs/>
        </w:rPr>
        <w:t>Parking Details to Become Compulsory for Homebuyers Under Karnataka RERA Guidelines</w:t>
      </w:r>
    </w:p>
    <w:p w14:paraId="4C0D9196" w14:textId="6846EC2B" w:rsidR="000C664D" w:rsidRDefault="0080134B" w:rsidP="0080134B">
      <w:pPr>
        <w:rPr>
          <w:rFonts w:ascii="Albertus Extra Bold" w:hAnsi="Albertus Extra Bold"/>
        </w:rPr>
      </w:pPr>
      <w:r w:rsidRPr="0080134B">
        <w:rPr>
          <w:rFonts w:ascii="Albertus Extra Bold" w:hAnsi="Albertus Extra Bold"/>
        </w:rPr>
        <w:t xml:space="preserve"> </w:t>
      </w:r>
    </w:p>
    <w:p w14:paraId="06633573" w14:textId="428333CD" w:rsidR="0080134B" w:rsidRDefault="003311B9" w:rsidP="003311B9">
      <w:pPr>
        <w:jc w:val="both"/>
        <w:rPr>
          <w:rFonts w:ascii="Book Antiqua" w:hAnsi="Book Antiqua"/>
        </w:rPr>
      </w:pPr>
      <w:r w:rsidRPr="003311B9">
        <w:rPr>
          <w:rFonts w:ascii="Book Antiqua" w:hAnsi="Book Antiqua"/>
        </w:rPr>
        <w:t xml:space="preserve">The </w:t>
      </w:r>
      <w:r w:rsidRPr="003311B9">
        <w:rPr>
          <w:rFonts w:ascii="Book Antiqua" w:hAnsi="Book Antiqua"/>
          <w:b/>
          <w:bCs/>
        </w:rPr>
        <w:t>Karnataka Real Estate Regulatory Authority (K-RERA)</w:t>
      </w:r>
      <w:r w:rsidRPr="003311B9">
        <w:rPr>
          <w:rFonts w:ascii="Book Antiqua" w:hAnsi="Book Antiqua"/>
        </w:rPr>
        <w:t xml:space="preserve"> plans to make it mandatory for builders to clearly disclose </w:t>
      </w:r>
      <w:r w:rsidRPr="003311B9">
        <w:rPr>
          <w:rFonts w:ascii="Book Antiqua" w:hAnsi="Book Antiqua"/>
          <w:b/>
          <w:bCs/>
        </w:rPr>
        <w:t>parking details in allotment letters and sale agreements</w:t>
      </w:r>
      <w:r w:rsidRPr="003311B9">
        <w:rPr>
          <w:rFonts w:ascii="Book Antiqua" w:hAnsi="Book Antiqua"/>
        </w:rPr>
        <w:t xml:space="preserve"> for residential projects. Developers will have to specify the </w:t>
      </w:r>
      <w:r w:rsidRPr="003311B9">
        <w:rPr>
          <w:rFonts w:ascii="Book Antiqua" w:hAnsi="Book Antiqua"/>
          <w:b/>
          <w:bCs/>
        </w:rPr>
        <w:t>exact parking slot number, type (covered/open/basement), size, and location</w:t>
      </w:r>
      <w:r w:rsidRPr="003311B9">
        <w:rPr>
          <w:rFonts w:ascii="Book Antiqua" w:hAnsi="Book Antiqua"/>
        </w:rPr>
        <w:t xml:space="preserve">, and attach an </w:t>
      </w:r>
      <w:r w:rsidRPr="003311B9">
        <w:rPr>
          <w:rFonts w:ascii="Book Antiqua" w:hAnsi="Book Antiqua"/>
          <w:b/>
          <w:bCs/>
        </w:rPr>
        <w:t>approved parking layout plan</w:t>
      </w:r>
      <w:r w:rsidRPr="003311B9">
        <w:rPr>
          <w:rFonts w:ascii="Book Antiqua" w:hAnsi="Book Antiqua"/>
        </w:rPr>
        <w:t xml:space="preserve"> to the agreement.</w:t>
      </w:r>
    </w:p>
    <w:p w14:paraId="05EA8754" w14:textId="77777777" w:rsidR="003311B9" w:rsidRPr="003311B9" w:rsidRDefault="003311B9" w:rsidP="003311B9">
      <w:pPr>
        <w:jc w:val="both"/>
        <w:rPr>
          <w:rFonts w:ascii="Book Antiqua" w:hAnsi="Book Antiqua"/>
        </w:rPr>
      </w:pPr>
    </w:p>
    <w:p w14:paraId="09C843CC" w14:textId="3C5E5BD8" w:rsidR="003311B9" w:rsidRDefault="003311B9" w:rsidP="003311B9">
      <w:pPr>
        <w:jc w:val="both"/>
        <w:rPr>
          <w:rFonts w:ascii="Book Antiqua" w:hAnsi="Book Antiqua"/>
        </w:rPr>
      </w:pPr>
      <w:r w:rsidRPr="003311B9">
        <w:rPr>
          <w:rFonts w:ascii="Book Antiqua" w:hAnsi="Book Antiqua"/>
        </w:rPr>
        <w:t xml:space="preserve">The move aims to </w:t>
      </w:r>
      <w:r w:rsidRPr="003311B9">
        <w:rPr>
          <w:rFonts w:ascii="Book Antiqua" w:hAnsi="Book Antiqua"/>
          <w:b/>
          <w:bCs/>
        </w:rPr>
        <w:t>reduce disputes over parking allocation</w:t>
      </w:r>
      <w:r w:rsidRPr="003311B9">
        <w:rPr>
          <w:rFonts w:ascii="Book Antiqua" w:hAnsi="Book Antiqua"/>
        </w:rPr>
        <w:t>, a common complaint among homebuyers, and improve transparency in property transactions.</w:t>
      </w:r>
    </w:p>
    <w:p w14:paraId="3594C224" w14:textId="71106D6C" w:rsidR="003311B9" w:rsidRPr="003311B9" w:rsidRDefault="003311B9" w:rsidP="003311B9">
      <w:pPr>
        <w:jc w:val="both"/>
        <w:rPr>
          <w:rFonts w:ascii="Book Antiqua" w:hAnsi="Book Antiqua"/>
        </w:rPr>
      </w:pPr>
      <w:hyperlink r:id="rId15" w:history="1">
        <w:r w:rsidRPr="003311B9">
          <w:rPr>
            <w:rStyle w:val="Hyperlink"/>
            <w:rFonts w:ascii="Book Antiqua" w:hAnsi="Book Antiqua"/>
          </w:rPr>
          <w:t>Read More</w:t>
        </w:r>
      </w:hyperlink>
    </w:p>
    <w:p w14:paraId="53E6A6E6" w14:textId="77777777" w:rsidR="0080134B" w:rsidRPr="003311B9" w:rsidRDefault="0080134B" w:rsidP="0080134B">
      <w:pPr>
        <w:jc w:val="both"/>
        <w:rPr>
          <w:rFonts w:ascii="Book Antiqua" w:hAnsi="Book Antiqua" w:cs="Times New Roman"/>
        </w:rPr>
      </w:pPr>
    </w:p>
    <w:p w14:paraId="0748B137" w14:textId="77777777" w:rsidR="0080134B" w:rsidRDefault="0080134B" w:rsidP="0080134B">
      <w:pPr>
        <w:jc w:val="both"/>
        <w:rPr>
          <w:rFonts w:ascii="Times New Roman" w:hAnsi="Times New Roman" w:cs="Times New Roman"/>
        </w:rPr>
      </w:pPr>
    </w:p>
    <w:p w14:paraId="47E94F47" w14:textId="77777777" w:rsidR="001E7E48" w:rsidRPr="001E7E48" w:rsidRDefault="0080134B" w:rsidP="001E7E48">
      <w:pPr>
        <w:jc w:val="both"/>
        <w:rPr>
          <w:rFonts w:ascii="Albertus Extra Bold" w:hAnsi="Albertus Extra Bold" w:cs="Times New Roman"/>
          <w:b/>
          <w:bCs/>
        </w:rPr>
      </w:pPr>
      <w:r w:rsidRPr="0080134B">
        <w:rPr>
          <w:rFonts w:ascii="Segoe UI Emoji" w:hAnsi="Segoe UI Emoji" w:cs="Segoe UI Emoji"/>
        </w:rPr>
        <w:t>🔹</w:t>
      </w:r>
      <w:r w:rsidRPr="0080134B">
        <w:rPr>
          <w:rFonts w:ascii="Albertus Extra Bold" w:hAnsi="Albertus Extra Bold" w:cs="Times New Roman"/>
          <w:b/>
          <w:bCs/>
        </w:rPr>
        <w:t xml:space="preserve"> </w:t>
      </w:r>
      <w:r w:rsidR="001E7E48" w:rsidRPr="001E7E48">
        <w:rPr>
          <w:rFonts w:ascii="Albertus Extra Bold" w:hAnsi="Albertus Extra Bold" w:cs="Times New Roman"/>
          <w:b/>
          <w:bCs/>
        </w:rPr>
        <w:t>Living on a property for decades? Courts say possession alone doesn’t give you ownership without proving adverse possession</w:t>
      </w:r>
    </w:p>
    <w:p w14:paraId="5C9338DF" w14:textId="77777777" w:rsidR="001E7E48" w:rsidRPr="001E7E48" w:rsidRDefault="001E7E48" w:rsidP="001E7E48">
      <w:pPr>
        <w:jc w:val="both"/>
        <w:rPr>
          <w:rFonts w:ascii="Albertus Extra Bold" w:hAnsi="Albertus Extra Bold" w:cs="Times New Roman"/>
          <w:b/>
          <w:bCs/>
        </w:rPr>
      </w:pPr>
    </w:p>
    <w:p w14:paraId="6067B4AD" w14:textId="77777777" w:rsidR="001E7E48" w:rsidRPr="001E7E48" w:rsidRDefault="001E7E48" w:rsidP="001E7E48">
      <w:pPr>
        <w:jc w:val="both"/>
        <w:rPr>
          <w:rFonts w:ascii="Book Antiqua" w:hAnsi="Book Antiqua" w:cs="Times New Roman"/>
        </w:rPr>
      </w:pPr>
      <w:r w:rsidRPr="001E7E48">
        <w:rPr>
          <w:rFonts w:ascii="Book Antiqua" w:hAnsi="Book Antiqua" w:cs="Times New Roman"/>
        </w:rPr>
        <w:t xml:space="preserve">Courts in India have clarified that living on a property for decades does not automatically give someone ownership rights. To claim ownership without a title, a person must prove “adverse possession”, which requires showing that the occupation was open, continuous, exclusive, and against the true owner’s rights for the legally prescribed period (usually 12 years for private property). </w:t>
      </w:r>
    </w:p>
    <w:p w14:paraId="058B29CB" w14:textId="77777777" w:rsidR="001E7E48" w:rsidRDefault="001E7E48" w:rsidP="001E7E48">
      <w:pPr>
        <w:jc w:val="both"/>
        <w:rPr>
          <w:rFonts w:ascii="Book Antiqua" w:hAnsi="Book Antiqua" w:cs="Times New Roman"/>
        </w:rPr>
      </w:pPr>
      <w:r w:rsidRPr="001E7E48">
        <w:rPr>
          <w:rFonts w:ascii="Book Antiqua" w:hAnsi="Book Antiqua" w:cs="Times New Roman"/>
        </w:rPr>
        <w:t>Mere long-term occupation, especially if it began with the owner’s permission—such as in the case of tenants or caretakers—cannot be used to claim ownership. Courts emphasize that adverse possession is an exception and must be proved with strong evidence, not assumed from long stay alone.</w:t>
      </w:r>
    </w:p>
    <w:p w14:paraId="05BF54E7" w14:textId="7B33F629" w:rsidR="001E7E48" w:rsidRPr="001E7E48" w:rsidRDefault="001E7E48" w:rsidP="001E7E48">
      <w:pPr>
        <w:jc w:val="both"/>
        <w:rPr>
          <w:rFonts w:ascii="Albertus Extra Bold" w:hAnsi="Albertus Extra Bold" w:cs="Times New Roman"/>
          <w:b/>
          <w:bCs/>
        </w:rPr>
      </w:pPr>
      <w:hyperlink r:id="rId16" w:history="1">
        <w:r w:rsidRPr="001E7E48">
          <w:rPr>
            <w:rStyle w:val="Hyperlink"/>
            <w:rFonts w:ascii="Book Antiqua" w:hAnsi="Book Antiqua" w:cs="Times New Roman"/>
          </w:rPr>
          <w:t>Read More</w:t>
        </w:r>
      </w:hyperlink>
    </w:p>
    <w:p w14:paraId="1156BE99" w14:textId="77777777" w:rsidR="0080134B" w:rsidRDefault="0080134B" w:rsidP="0080134B">
      <w:pPr>
        <w:jc w:val="both"/>
        <w:rPr>
          <w:rFonts w:ascii="Albertus Extra Bold" w:hAnsi="Albertus Extra Bold" w:cs="Times New Roman"/>
          <w:b/>
          <w:bCs/>
        </w:rPr>
      </w:pPr>
    </w:p>
    <w:p w14:paraId="6B37E477" w14:textId="416BC443" w:rsidR="001E7E48" w:rsidRDefault="001E7E48" w:rsidP="0080134B">
      <w:pPr>
        <w:jc w:val="both"/>
        <w:rPr>
          <w:rFonts w:ascii="Book Antiqua" w:hAnsi="Book Antiqua" w:cs="Times New Roman"/>
        </w:rPr>
      </w:pPr>
      <w:r w:rsidRPr="0080134B">
        <w:rPr>
          <w:rFonts w:ascii="Segoe UI Emoji" w:hAnsi="Segoe UI Emoji" w:cs="Segoe UI Emoji"/>
        </w:rPr>
        <w:t>🔹</w:t>
      </w:r>
      <w:r w:rsidRPr="0080134B">
        <w:rPr>
          <w:rFonts w:ascii="Albertus Extra Bold" w:hAnsi="Albertus Extra Bold" w:cs="Times New Roman"/>
          <w:b/>
          <w:bCs/>
        </w:rPr>
        <w:t xml:space="preserve"> </w:t>
      </w:r>
      <w:r w:rsidRPr="001E7E48">
        <w:rPr>
          <w:rFonts w:ascii="Albertus Extra Bold" w:hAnsi="Albertus Extra Bold" w:cs="Times New Roman"/>
          <w:b/>
          <w:bCs/>
        </w:rPr>
        <w:t xml:space="preserve">How To Determine If An Agreement Creates A License Or Lease? Supreme Court </w:t>
      </w:r>
      <w:r w:rsidR="0085556B">
        <w:rPr>
          <w:rFonts w:ascii="Albertus Extra Bold" w:hAnsi="Albertus Extra Bold" w:cs="Times New Roman"/>
          <w:b/>
          <w:bCs/>
        </w:rPr>
        <w:t xml:space="preserve">Clarifies </w:t>
      </w:r>
      <w:r w:rsidRPr="001E7E48">
        <w:rPr>
          <w:rFonts w:ascii="Albertus Extra Bold" w:hAnsi="Albertus Extra Bold" w:cs="Times New Roman"/>
          <w:b/>
          <w:bCs/>
        </w:rPr>
        <w:br/>
      </w:r>
      <w:r w:rsidRPr="001E7E48">
        <w:rPr>
          <w:rFonts w:ascii="Albertus Extra Bold" w:hAnsi="Albertus Extra Bold" w:cs="Times New Roman"/>
          <w:b/>
          <w:bCs/>
        </w:rPr>
        <w:br/>
      </w:r>
      <w:r w:rsidR="0085556B" w:rsidRPr="0085556B">
        <w:rPr>
          <w:rFonts w:ascii="Book Antiqua" w:hAnsi="Book Antiqua" w:cs="Times New Roman"/>
        </w:rPr>
        <w:t>The Supreme Court has clarified that to determine whether an agreement is a lease or a license, courts must look at the actual intention of the parties and the rights given in the agreement, not just the title of the document. If the agreement gives exclusive possession and creates an interest in the property, it is a lease; if it only allows temporary use without transferring any property rights, it is a license.</w:t>
      </w:r>
    </w:p>
    <w:p w14:paraId="0D1C22DF" w14:textId="71C8B538" w:rsidR="0085556B" w:rsidRDefault="0085556B" w:rsidP="0080134B">
      <w:pPr>
        <w:jc w:val="both"/>
      </w:pPr>
      <w:hyperlink r:id="rId17" w:history="1">
        <w:r w:rsidRPr="0085556B">
          <w:rPr>
            <w:rStyle w:val="Hyperlink"/>
            <w:rFonts w:ascii="Book Antiqua" w:hAnsi="Book Antiqua" w:cs="Times New Roman"/>
          </w:rPr>
          <w:t>Read More</w:t>
        </w:r>
      </w:hyperlink>
    </w:p>
    <w:p w14:paraId="00CB7938" w14:textId="77777777" w:rsidR="000E40FF" w:rsidRDefault="000E40FF" w:rsidP="0080134B">
      <w:pPr>
        <w:jc w:val="both"/>
      </w:pPr>
    </w:p>
    <w:p w14:paraId="2700554C" w14:textId="54659A4D" w:rsidR="000E40FF" w:rsidRDefault="000E40FF" w:rsidP="000E40FF">
      <w:pPr>
        <w:jc w:val="both"/>
        <w:rPr>
          <w:rFonts w:ascii="Albertus Extra Bold" w:hAnsi="Albertus Extra Bold" w:cs="Segoe UI Emoji"/>
          <w:b/>
          <w:bCs/>
        </w:rPr>
      </w:pPr>
      <w:r w:rsidRPr="0080134B">
        <w:rPr>
          <w:rFonts w:ascii="Segoe UI Emoji" w:hAnsi="Segoe UI Emoji" w:cs="Segoe UI Emoji"/>
        </w:rPr>
        <w:t>🔹</w:t>
      </w:r>
      <w:r w:rsidRPr="000E40FF">
        <w:rPr>
          <w:rFonts w:ascii="Roboto" w:eastAsia="Times New Roman" w:hAnsi="Roboto" w:cs="Times New Roman"/>
          <w:color w:val="111111"/>
          <w:kern w:val="36"/>
          <w:sz w:val="48"/>
          <w:szCs w:val="48"/>
        </w:rPr>
        <w:t xml:space="preserve"> </w:t>
      </w:r>
      <w:r w:rsidRPr="000E40FF">
        <w:rPr>
          <w:rFonts w:ascii="Albertus Extra Bold" w:hAnsi="Albertus Extra Bold" w:cs="Segoe UI Emoji"/>
          <w:b/>
          <w:bCs/>
        </w:rPr>
        <w:t>RERA pulls up builder for handing over flats without OC</w:t>
      </w:r>
    </w:p>
    <w:p w14:paraId="0286EB8E" w14:textId="6D8AB23A" w:rsidR="000E40FF" w:rsidRDefault="006220BE" w:rsidP="000E40FF">
      <w:pPr>
        <w:jc w:val="both"/>
        <w:rPr>
          <w:rFonts w:ascii="Book Antiqua" w:hAnsi="Book Antiqua" w:cs="Segoe UI Emoji"/>
        </w:rPr>
      </w:pPr>
      <w:r w:rsidRPr="006220BE">
        <w:rPr>
          <w:rFonts w:ascii="Book Antiqua" w:hAnsi="Book Antiqua" w:cs="Segoe UI Emoji"/>
        </w:rPr>
        <w:t>RERA pulled up a builder for handing over flats without obtaining the mandatory Occupancy Certificate (OC). It held that possession without OC is illegal and directed the builder to obtain the OC within a specified time, bear maintenance costs until then, and rectify deficiencies. The case reinforces that OC is essential before handing over possession to buyers.</w:t>
      </w:r>
    </w:p>
    <w:p w14:paraId="1D70893B" w14:textId="7056E49A" w:rsidR="006220BE" w:rsidRPr="006220BE" w:rsidRDefault="006220BE" w:rsidP="000E40FF">
      <w:pPr>
        <w:jc w:val="both"/>
        <w:rPr>
          <w:rFonts w:ascii="Book Antiqua" w:hAnsi="Book Antiqua" w:cs="Segoe UI Emoji"/>
        </w:rPr>
      </w:pPr>
      <w:hyperlink r:id="rId18" w:history="1">
        <w:r w:rsidRPr="006220BE">
          <w:rPr>
            <w:rStyle w:val="Hyperlink"/>
            <w:rFonts w:ascii="Book Antiqua" w:hAnsi="Book Antiqua" w:cs="Segoe UI Emoji"/>
          </w:rPr>
          <w:t>Read More</w:t>
        </w:r>
      </w:hyperlink>
    </w:p>
    <w:p w14:paraId="3295E31E" w14:textId="52D51A7A" w:rsidR="000E40FF" w:rsidRPr="006220BE" w:rsidRDefault="000E40FF" w:rsidP="0080134B">
      <w:pPr>
        <w:jc w:val="both"/>
        <w:rPr>
          <w:rFonts w:ascii="Book Antiqua" w:hAnsi="Book Antiqua" w:cs="Times New Roman"/>
        </w:rPr>
      </w:pPr>
    </w:p>
    <w:p w14:paraId="7CA2208D" w14:textId="77777777" w:rsidR="00B52CBA" w:rsidRDefault="00B52CBA" w:rsidP="0080134B">
      <w:pPr>
        <w:jc w:val="both"/>
        <w:rPr>
          <w:rFonts w:ascii="Albertus Extra Bold" w:hAnsi="Albertus Extra Bold" w:cs="Times New Roman"/>
          <w:b/>
          <w:bCs/>
        </w:rPr>
      </w:pPr>
    </w:p>
    <w:p w14:paraId="00F7AC65" w14:textId="77777777" w:rsidR="0080134B" w:rsidRDefault="0080134B" w:rsidP="0080134B">
      <w:pPr>
        <w:jc w:val="both"/>
        <w:rPr>
          <w:rFonts w:ascii="Times New Roman" w:hAnsi="Times New Roman" w:cs="Times New Roman"/>
        </w:rPr>
      </w:pPr>
    </w:p>
    <w:p w14:paraId="74267EAB" w14:textId="77777777" w:rsidR="0080134B" w:rsidRPr="0080134B" w:rsidRDefault="0080134B" w:rsidP="0080134B">
      <w:pPr>
        <w:jc w:val="both"/>
        <w:rPr>
          <w:rFonts w:ascii="Times New Roman" w:hAnsi="Times New Roman" w:cs="Times New Roman"/>
        </w:rPr>
      </w:pPr>
    </w:p>
    <w:p w14:paraId="0C27DE61" w14:textId="77777777" w:rsidR="000C664D" w:rsidRPr="0080134B" w:rsidRDefault="000C664D" w:rsidP="0080134B">
      <w:pPr>
        <w:jc w:val="both"/>
        <w:rPr>
          <w:rFonts w:ascii="Times New Roman" w:hAnsi="Times New Roman" w:cs="Times New Roman"/>
        </w:rPr>
      </w:pPr>
    </w:p>
    <w:p w14:paraId="187EEC32" w14:textId="77777777" w:rsidR="001645A9" w:rsidRDefault="001645A9" w:rsidP="000C664D"/>
    <w:p w14:paraId="73992A46" w14:textId="77777777" w:rsidR="001645A9" w:rsidRDefault="001645A9" w:rsidP="000C664D"/>
    <w:p w14:paraId="170908D7" w14:textId="77777777" w:rsidR="001645A9" w:rsidRDefault="001645A9" w:rsidP="000C664D"/>
    <w:p w14:paraId="608C1352" w14:textId="77777777" w:rsidR="001645A9" w:rsidRDefault="001645A9" w:rsidP="000C664D"/>
    <w:p w14:paraId="3F13177B" w14:textId="3CD7ADF5" w:rsidR="0085556B" w:rsidRDefault="0085556B" w:rsidP="006220BE">
      <w:pPr>
        <w:jc w:val="right"/>
      </w:pPr>
      <w:r>
        <w:t xml:space="preserve">                                                                                                                             </w:t>
      </w:r>
      <w:r w:rsidR="00746FAE">
        <w:t xml:space="preserve">                                                                                 </w:t>
      </w:r>
      <w:r>
        <w:t xml:space="preserve">           </w:t>
      </w:r>
      <w:r>
        <w:rPr>
          <w:noProof/>
        </w:rPr>
        <w:drawing>
          <wp:inline distT="0" distB="0" distL="0" distR="0" wp14:anchorId="3AFA9EA7" wp14:editId="3BA5314E">
            <wp:extent cx="2141220" cy="1143000"/>
            <wp:effectExtent l="190500" t="190500" r="182880" b="190500"/>
            <wp:docPr id="1474812915" name="Picture 13" descr="Proplex Consulting LLP | Bangal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plex Consulting LLP | Bangalo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41220" cy="1143000"/>
                    </a:xfrm>
                    <a:prstGeom prst="rect">
                      <a:avLst/>
                    </a:prstGeom>
                    <a:ln>
                      <a:noFill/>
                    </a:ln>
                    <a:effectLst>
                      <a:outerShdw blurRad="190500" algn="tl" rotWithShape="0">
                        <a:srgbClr val="000000">
                          <a:alpha val="70000"/>
                        </a:srgbClr>
                      </a:outerShdw>
                    </a:effectLst>
                  </pic:spPr>
                </pic:pic>
              </a:graphicData>
            </a:graphic>
          </wp:inline>
        </w:drawing>
      </w:r>
      <w:r w:rsidR="00746FAE">
        <w:t xml:space="preserve">          </w:t>
      </w:r>
    </w:p>
    <w:p w14:paraId="6F85596F" w14:textId="0ABC5945" w:rsidR="001645A9" w:rsidRDefault="0085556B" w:rsidP="000C664D">
      <w:r>
        <w:t xml:space="preserve">        </w:t>
      </w:r>
      <w:r w:rsidR="00746FAE">
        <w:t xml:space="preserve">                                           </w:t>
      </w:r>
    </w:p>
    <w:p w14:paraId="065B113D" w14:textId="6E4F33DB" w:rsidR="000C664D" w:rsidRPr="0085556B" w:rsidRDefault="000C664D" w:rsidP="000C664D">
      <w:pPr>
        <w:rPr>
          <w:rFonts w:ascii="Albertus Extra Bold" w:hAnsi="Albertus Extra Bold"/>
          <w:color w:val="000000" w:themeColor="text1"/>
          <w:sz w:val="28"/>
          <w:szCs w:val="28"/>
        </w:rPr>
      </w:pPr>
      <w:hyperlink r:id="rId20" w:history="1">
        <w:r w:rsidRPr="0085556B">
          <w:rPr>
            <w:rStyle w:val="Hyperlink"/>
            <w:rFonts w:ascii="Albertus Extra Bold" w:hAnsi="Albertus Extra Bold"/>
            <w:b/>
            <w:bCs/>
            <w:color w:val="000000" w:themeColor="text1"/>
            <w:sz w:val="28"/>
            <w:szCs w:val="28"/>
          </w:rPr>
          <w:t xml:space="preserve">About </w:t>
        </w:r>
        <w:proofErr w:type="spellStart"/>
        <w:r w:rsidRPr="0085556B">
          <w:rPr>
            <w:rStyle w:val="Hyperlink"/>
            <w:rFonts w:ascii="Albertus Extra Bold" w:hAnsi="Albertus Extra Bold"/>
            <w:b/>
            <w:bCs/>
            <w:color w:val="000000" w:themeColor="text1"/>
            <w:sz w:val="28"/>
            <w:szCs w:val="28"/>
          </w:rPr>
          <w:t>Proplex</w:t>
        </w:r>
        <w:proofErr w:type="spellEnd"/>
        <w:r w:rsidRPr="0085556B">
          <w:rPr>
            <w:rStyle w:val="Hyperlink"/>
            <w:rFonts w:ascii="Albertus Extra Bold" w:hAnsi="Albertus Extra Bold"/>
            <w:b/>
            <w:bCs/>
            <w:color w:val="000000" w:themeColor="text1"/>
            <w:sz w:val="28"/>
            <w:szCs w:val="28"/>
          </w:rPr>
          <w:t>:</w:t>
        </w:r>
      </w:hyperlink>
    </w:p>
    <w:p w14:paraId="224556B0" w14:textId="77777777" w:rsidR="006B703F" w:rsidRDefault="006B703F" w:rsidP="00C43917">
      <w:pPr>
        <w:rPr>
          <w:rFonts w:ascii="Book Antiqua" w:hAnsi="Book Antiqua"/>
        </w:rPr>
      </w:pPr>
    </w:p>
    <w:p w14:paraId="23EEB8D5" w14:textId="5FA1A947" w:rsidR="000C664D" w:rsidRPr="00F661D2" w:rsidRDefault="000C664D" w:rsidP="00F661D2">
      <w:pPr>
        <w:jc w:val="both"/>
        <w:rPr>
          <w:rFonts w:ascii="Book Antiqua" w:hAnsi="Book Antiqua" w:cs="Times New Roman"/>
          <w:b/>
          <w:bCs/>
          <w:color w:val="2C7FCE" w:themeColor="text2" w:themeTint="99"/>
        </w:rPr>
      </w:pPr>
      <w:proofErr w:type="spellStart"/>
      <w:r w:rsidRPr="00F661D2">
        <w:rPr>
          <w:rFonts w:ascii="Book Antiqua" w:hAnsi="Book Antiqua" w:cs="Times New Roman"/>
          <w:b/>
          <w:bCs/>
        </w:rPr>
        <w:t>Proplex</w:t>
      </w:r>
      <w:proofErr w:type="spellEnd"/>
      <w:r w:rsidRPr="00F661D2">
        <w:rPr>
          <w:rFonts w:ascii="Book Antiqua" w:hAnsi="Book Antiqua" w:cs="Times New Roman"/>
          <w:b/>
          <w:bCs/>
        </w:rPr>
        <w:t xml:space="preserve"> Consulting LLP, Bengaluru</w:t>
      </w:r>
      <w:r w:rsidRPr="00F661D2">
        <w:rPr>
          <w:rFonts w:ascii="Book Antiqua" w:hAnsi="Book Antiqua" w:cs="Times New Roman"/>
        </w:rPr>
        <w:t xml:space="preserve">, provides end-to-end legal support for property transactions, including title verification, scrutiny of ownership and revenue records, drafting and registration of Sale Deeds, Agreements, Gift/Release Deeds, </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transfer/Registration and Conversion, B-</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to A-</w:t>
      </w:r>
      <w:proofErr w:type="spellStart"/>
      <w:r w:rsidRPr="00F661D2">
        <w:rPr>
          <w:rFonts w:ascii="Book Antiqua" w:hAnsi="Book Antiqua" w:cs="Times New Roman"/>
        </w:rPr>
        <w:t>Khata</w:t>
      </w:r>
      <w:proofErr w:type="spellEnd"/>
      <w:r w:rsidRPr="00F661D2">
        <w:rPr>
          <w:rFonts w:ascii="Book Antiqua" w:hAnsi="Book Antiqua" w:cs="Times New Roman"/>
        </w:rPr>
        <w:t xml:space="preserve"> services, POA adjudication, and BESCOM/BBMP-related compliances. The Firm liaises with Sub-Registrar Offices, BBMP, BDA, BESCOM, and banks to ensure lawful, accurate, and timely completion of all property documentation and registration processes, with our lawyers assisting you at each step of the process.</w:t>
      </w:r>
    </w:p>
    <w:p w14:paraId="18358458" w14:textId="77777777" w:rsidR="000C664D" w:rsidRPr="00F661D2" w:rsidRDefault="000C664D" w:rsidP="00F661D2">
      <w:pPr>
        <w:jc w:val="both"/>
        <w:rPr>
          <w:rFonts w:ascii="Book Antiqua" w:hAnsi="Book Antiqua" w:cs="Times New Roman"/>
        </w:rPr>
      </w:pPr>
    </w:p>
    <w:p w14:paraId="5822E9F3" w14:textId="77777777" w:rsidR="000C664D" w:rsidRPr="00F661D2" w:rsidRDefault="000C664D" w:rsidP="000C664D">
      <w:pPr>
        <w:rPr>
          <w:rFonts w:ascii="Book Antiqua" w:hAnsi="Book Antiqua" w:cs="Times New Roman"/>
        </w:rPr>
      </w:pPr>
      <w:r w:rsidRPr="00F661D2">
        <w:rPr>
          <w:rFonts w:ascii="Book Antiqua" w:hAnsi="Book Antiqua" w:cs="Times New Roman"/>
        </w:rPr>
        <w:t>In the event that any further clarification is required, you are requested to contact us at the number specified herein below.</w:t>
      </w:r>
    </w:p>
    <w:p w14:paraId="43E6E1FF" w14:textId="77777777" w:rsidR="000C664D" w:rsidRPr="00F661D2" w:rsidRDefault="000C664D" w:rsidP="00C43917">
      <w:pPr>
        <w:rPr>
          <w:rFonts w:ascii="Book Antiqua" w:hAnsi="Book Antiqua" w:cs="Times New Roman"/>
          <w:b/>
          <w:bCs/>
          <w:color w:val="2C7FCE" w:themeColor="text2" w:themeTint="99"/>
        </w:rPr>
      </w:pPr>
    </w:p>
    <w:p w14:paraId="1406BA79" w14:textId="77777777" w:rsidR="000C664D"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begin"/>
      </w:r>
      <w:r w:rsidRPr="00F661D2">
        <w:rPr>
          <w:rFonts w:ascii="Book Antiqua" w:hAnsi="Book Antiqua" w:cs="Times New Roman"/>
          <w:b/>
          <w:bCs/>
          <w:color w:val="2C7FCE" w:themeColor="text2" w:themeTint="99"/>
        </w:rPr>
        <w:instrText>HYPERLINK "mailto:Email: info@proplex.co.in</w:instrText>
      </w:r>
    </w:p>
    <w:p w14:paraId="612C663B" w14:textId="77777777" w:rsidR="000C664D" w:rsidRPr="00F661D2" w:rsidRDefault="000C664D" w:rsidP="00C43917">
      <w:pPr>
        <w:rPr>
          <w:rStyle w:val="Hyperlink"/>
          <w:rFonts w:ascii="Book Antiqua" w:hAnsi="Book Antiqua" w:cs="Times New Roman"/>
          <w:b/>
          <w:bCs/>
        </w:rPr>
      </w:pPr>
      <w:r w:rsidRPr="00F661D2">
        <w:rPr>
          <w:rFonts w:ascii="Book Antiqua" w:hAnsi="Book Antiqua" w:cs="Times New Roman"/>
          <w:b/>
          <w:bCs/>
          <w:color w:val="2C7FCE" w:themeColor="text2" w:themeTint="99"/>
        </w:rPr>
        <w:instrText>"</w:instrText>
      </w:r>
      <w:r w:rsidRPr="00F661D2">
        <w:rPr>
          <w:rFonts w:ascii="Book Antiqua" w:hAnsi="Book Antiqua" w:cs="Times New Roman"/>
          <w:b/>
          <w:bCs/>
          <w:color w:val="2C7FCE" w:themeColor="text2" w:themeTint="99"/>
        </w:rPr>
      </w:r>
      <w:r w:rsidRPr="00F661D2">
        <w:rPr>
          <w:rFonts w:ascii="Book Antiqua" w:hAnsi="Book Antiqua" w:cs="Times New Roman"/>
          <w:b/>
          <w:bCs/>
          <w:color w:val="2C7FCE" w:themeColor="text2" w:themeTint="99"/>
        </w:rPr>
        <w:fldChar w:fldCharType="separate"/>
      </w:r>
      <w:r w:rsidRPr="00F661D2">
        <w:rPr>
          <w:rStyle w:val="Hyperlink"/>
          <w:rFonts w:ascii="Book Antiqua" w:hAnsi="Book Antiqua" w:cs="Times New Roman"/>
          <w:b/>
          <w:bCs/>
        </w:rPr>
        <w:t>Email: info@proplex.co.in</w:t>
      </w:r>
    </w:p>
    <w:p w14:paraId="1B9032E1" w14:textId="7F5AE110" w:rsidR="006B703F"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end"/>
      </w:r>
    </w:p>
    <w:p w14:paraId="05FCB224" w14:textId="77777777" w:rsidR="00CF0644" w:rsidRPr="00F661D2" w:rsidRDefault="00CF0644" w:rsidP="00C43917">
      <w:pPr>
        <w:rPr>
          <w:rFonts w:ascii="Book Antiqua" w:hAnsi="Book Antiqua" w:cs="Times New Roman"/>
          <w:b/>
          <w:bCs/>
          <w:color w:val="000000" w:themeColor="text1"/>
        </w:rPr>
      </w:pPr>
      <w:hyperlink r:id="rId21" w:history="1">
        <w:proofErr w:type="spellStart"/>
        <w:r w:rsidRPr="00F661D2">
          <w:rPr>
            <w:rStyle w:val="Hyperlink"/>
            <w:rFonts w:ascii="Book Antiqua" w:hAnsi="Book Antiqua" w:cs="Times New Roman"/>
            <w:b/>
            <w:bCs/>
          </w:rPr>
          <w:t>Linkedln</w:t>
        </w:r>
        <w:proofErr w:type="spellEnd"/>
      </w:hyperlink>
      <w:r w:rsidRPr="00F661D2">
        <w:rPr>
          <w:rFonts w:ascii="Book Antiqua" w:hAnsi="Book Antiqua" w:cs="Times New Roman"/>
          <w:b/>
          <w:bCs/>
          <w:color w:val="000000" w:themeColor="text1"/>
        </w:rPr>
        <w:t xml:space="preserve"> </w:t>
      </w:r>
    </w:p>
    <w:p w14:paraId="4A4ABEBB" w14:textId="77777777" w:rsidR="00CF0644" w:rsidRPr="00F661D2" w:rsidRDefault="00CF0644" w:rsidP="00C43917">
      <w:pPr>
        <w:rPr>
          <w:rFonts w:ascii="Book Antiqua" w:hAnsi="Book Antiqua" w:cs="Times New Roman"/>
          <w:b/>
          <w:bCs/>
          <w:color w:val="000000" w:themeColor="text1"/>
        </w:rPr>
      </w:pPr>
    </w:p>
    <w:p w14:paraId="3083F9DB" w14:textId="77777777" w:rsidR="006B703F" w:rsidRPr="00F661D2" w:rsidRDefault="006B703F" w:rsidP="00C43917">
      <w:pPr>
        <w:rPr>
          <w:rStyle w:val="Hyperlink"/>
          <w:rFonts w:ascii="Book Antiqua" w:hAnsi="Book Antiqua" w:cs="Times New Roman"/>
          <w:b/>
          <w:bCs/>
          <w:color w:val="000000" w:themeColor="text1"/>
          <w:u w:val="none"/>
        </w:rPr>
      </w:pPr>
      <w:r w:rsidRPr="00F661D2">
        <w:rPr>
          <w:rFonts w:ascii="Book Antiqua" w:hAnsi="Book Antiqua" w:cs="Times New Roman"/>
          <w:b/>
          <w:bCs/>
          <w:color w:val="000000" w:themeColor="text1"/>
        </w:rPr>
        <w:fldChar w:fldCharType="begin"/>
      </w:r>
      <w:r w:rsidRPr="00F661D2">
        <w:rPr>
          <w:rFonts w:ascii="Book Antiqua" w:hAnsi="Book Antiqua" w:cs="Times New Roman"/>
          <w:b/>
          <w:bCs/>
          <w:color w:val="000000" w:themeColor="text1"/>
        </w:rPr>
        <w:instrText>HYPERLINK "tel:+91%2095558%2087744"</w:instrText>
      </w:r>
      <w:r w:rsidRPr="00F661D2">
        <w:rPr>
          <w:rFonts w:ascii="Book Antiqua" w:hAnsi="Book Antiqua" w:cs="Times New Roman"/>
          <w:b/>
          <w:bCs/>
          <w:color w:val="000000" w:themeColor="text1"/>
        </w:rPr>
      </w:r>
      <w:r w:rsidRPr="00F661D2">
        <w:rPr>
          <w:rFonts w:ascii="Book Antiqua" w:hAnsi="Book Antiqua" w:cs="Times New Roman"/>
          <w:b/>
          <w:bCs/>
          <w:color w:val="000000" w:themeColor="text1"/>
        </w:rPr>
        <w:fldChar w:fldCharType="separate"/>
      </w:r>
      <w:r w:rsidRPr="00F661D2">
        <w:rPr>
          <w:rStyle w:val="Hyperlink"/>
          <w:rFonts w:ascii="Book Antiqua" w:hAnsi="Book Antiqua" w:cs="Times New Roman"/>
          <w:b/>
          <w:bCs/>
          <w:color w:val="000000" w:themeColor="text1"/>
          <w:u w:val="none"/>
        </w:rPr>
        <w:t>Phone: +91 - 96110 52449</w:t>
      </w:r>
    </w:p>
    <w:p w14:paraId="257929FE" w14:textId="77777777" w:rsidR="00066FB4" w:rsidRPr="00F661D2" w:rsidRDefault="006B703F" w:rsidP="00C43917">
      <w:pPr>
        <w:rPr>
          <w:rFonts w:ascii="Book Antiqua" w:hAnsi="Book Antiqua" w:cs="Times New Roman"/>
          <w:b/>
          <w:bCs/>
          <w:color w:val="000000" w:themeColor="text1"/>
        </w:rPr>
      </w:pPr>
      <w:r w:rsidRPr="00F661D2">
        <w:rPr>
          <w:rFonts w:ascii="Book Antiqua" w:hAnsi="Book Antiqua" w:cs="Times New Roman"/>
          <w:b/>
          <w:bCs/>
          <w:color w:val="000000" w:themeColor="text1"/>
        </w:rPr>
        <w:fldChar w:fldCharType="end"/>
      </w:r>
    </w:p>
    <w:p w14:paraId="0C77FE09" w14:textId="2F005CA9" w:rsidR="00BA7487" w:rsidRPr="00AB4921" w:rsidRDefault="006B703F" w:rsidP="00C43917">
      <w:pPr>
        <w:rPr>
          <w:rFonts w:ascii="Times New Roman" w:hAnsi="Times New Roman" w:cs="Times New Roman"/>
          <w:b/>
          <w:bCs/>
          <w:color w:val="000000" w:themeColor="text1"/>
        </w:rPr>
      </w:pPr>
      <w:hyperlink r:id="rId22" w:history="1">
        <w:r w:rsidRPr="00F661D2">
          <w:rPr>
            <w:rStyle w:val="Hyperlink"/>
            <w:rFonts w:ascii="Book Antiqua" w:hAnsi="Book Antiqua" w:cs="Times New Roman"/>
            <w:b/>
            <w:bCs/>
            <w:color w:val="auto"/>
            <w:u w:val="none"/>
          </w:rPr>
          <w:t>Address: 1st Floor, SGR Plaza, No 43, HAL Old Airport Rd, above Federal Bank, Marathahalli</w:t>
        </w:r>
        <w:r w:rsidR="00066FB4" w:rsidRPr="00F661D2">
          <w:rPr>
            <w:rStyle w:val="Hyperlink"/>
            <w:rFonts w:ascii="Book Antiqua" w:hAnsi="Book Antiqua" w:cs="Times New Roman"/>
            <w:b/>
            <w:bCs/>
            <w:color w:val="auto"/>
            <w:u w:val="none"/>
          </w:rPr>
          <w:t xml:space="preserve"> </w:t>
        </w:r>
        <w:r w:rsidRPr="00F661D2">
          <w:rPr>
            <w:rStyle w:val="Hyperlink"/>
            <w:rFonts w:ascii="Book Antiqua" w:hAnsi="Book Antiqua" w:cs="Times New Roman"/>
            <w:b/>
            <w:bCs/>
            <w:color w:val="auto"/>
            <w:u w:val="none"/>
          </w:rPr>
          <w:t>Village, Marathahalli, Bengaluru, Karnataka 560037</w:t>
        </w:r>
      </w:hyperlink>
    </w:p>
    <w:p w14:paraId="72595ECE" w14:textId="4E2BBF88" w:rsidR="00304002" w:rsidRDefault="00000000" w:rsidP="00C43917">
      <w:r>
        <w:br/>
      </w:r>
    </w:p>
    <w:p w14:paraId="6997063C" w14:textId="229516D8" w:rsidR="009B40B4" w:rsidRDefault="009B40B4" w:rsidP="00C43917"/>
    <w:sectPr w:rsidR="009B40B4">
      <w:pgSz w:w="11910" w:h="16850"/>
      <w:pgMar w:top="800" w:right="283" w:bottom="0" w:left="85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3D57B" w14:textId="77777777" w:rsidR="00646BDC" w:rsidRDefault="00646BDC">
      <w:r>
        <w:separator/>
      </w:r>
    </w:p>
  </w:endnote>
  <w:endnote w:type="continuationSeparator" w:id="0">
    <w:p w14:paraId="0B168A77" w14:textId="77777777" w:rsidR="00646BDC" w:rsidRDefault="00646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altName w:val="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lbertus Extra Bold">
    <w:panose1 w:val="020E080204030402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C9DBC" w14:textId="77777777" w:rsidR="00646BDC" w:rsidRDefault="00646BDC">
      <w:r>
        <w:separator/>
      </w:r>
    </w:p>
  </w:footnote>
  <w:footnote w:type="continuationSeparator" w:id="0">
    <w:p w14:paraId="44A73276" w14:textId="77777777" w:rsidR="00646BDC" w:rsidRDefault="00646B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23A55" w14:textId="77777777" w:rsidR="00BA7487" w:rsidRDefault="00000000">
    <w:pPr>
      <w:pStyle w:val="BodyText"/>
      <w:spacing w:line="14" w:lineRule="auto"/>
      <w:rPr>
        <w:sz w:val="20"/>
      </w:rPr>
    </w:pPr>
    <w:r>
      <w:rPr>
        <w:noProof/>
        <w:sz w:val="20"/>
      </w:rPr>
      <mc:AlternateContent>
        <mc:Choice Requires="wps">
          <w:drawing>
            <wp:anchor distT="0" distB="0" distL="0" distR="0" simplePos="0" relativeHeight="251659776" behindDoc="1" locked="0" layoutInCell="1" allowOverlap="1" wp14:anchorId="4AC83DFF" wp14:editId="7EFF39B2">
              <wp:simplePos x="0" y="0"/>
              <wp:positionH relativeFrom="page">
                <wp:posOffset>0</wp:posOffset>
              </wp:positionH>
              <wp:positionV relativeFrom="page">
                <wp:posOffset>0</wp:posOffset>
              </wp:positionV>
              <wp:extent cx="7562850" cy="17653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2850" cy="176530"/>
                      </a:xfrm>
                      <a:custGeom>
                        <a:avLst/>
                        <a:gdLst/>
                        <a:ahLst/>
                        <a:cxnLst/>
                        <a:rect l="l" t="t" r="r" b="b"/>
                        <a:pathLst>
                          <a:path w="7562850" h="176530">
                            <a:moveTo>
                              <a:pt x="7562849" y="176137"/>
                            </a:moveTo>
                            <a:lnTo>
                              <a:pt x="0" y="176137"/>
                            </a:lnTo>
                            <a:lnTo>
                              <a:pt x="0" y="0"/>
                            </a:lnTo>
                            <a:lnTo>
                              <a:pt x="7562849" y="0"/>
                            </a:lnTo>
                            <a:lnTo>
                              <a:pt x="7562849" y="176137"/>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56654DA8" id="Graphic 1" o:spid="_x0000_s1026" style="position:absolute;margin-left:0;margin-top:0;width:595.5pt;height:13.9pt;z-index:-251656704;visibility:visible;mso-wrap-style:square;mso-wrap-distance-left:0;mso-wrap-distance-top:0;mso-wrap-distance-right:0;mso-wrap-distance-bottom:0;mso-position-horizontal:absolute;mso-position-horizontal-relative:page;mso-position-vertical:absolute;mso-position-vertical-relative:page;v-text-anchor:top" coordsize="756285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" path="m7562849,176137l,176137,,,7562849,r,176137xe" fillcolor="#7d250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42EA1"/>
    <w:multiLevelType w:val="hybridMultilevel"/>
    <w:tmpl w:val="0DE09D6A"/>
    <w:lvl w:ilvl="0" w:tplc="74CE7E56">
      <w:start w:val="1"/>
      <w:numFmt w:val="decimal"/>
      <w:lvlText w:val="%1."/>
      <w:lvlJc w:val="left"/>
      <w:pPr>
        <w:ind w:left="82" w:hanging="186"/>
        <w:jc w:val="right"/>
      </w:pPr>
      <w:rPr>
        <w:rFonts w:ascii="Arial Black" w:eastAsia="Arial Black" w:hAnsi="Arial Black" w:cs="Arial Black" w:hint="default"/>
        <w:b w:val="0"/>
        <w:bCs w:val="0"/>
        <w:i w:val="0"/>
        <w:iCs w:val="0"/>
        <w:spacing w:val="-1"/>
        <w:w w:val="64"/>
        <w:sz w:val="20"/>
        <w:szCs w:val="20"/>
        <w:lang w:val="en-US" w:eastAsia="en-US" w:bidi="ar-SA"/>
      </w:rPr>
    </w:lvl>
    <w:lvl w:ilvl="1" w:tplc="1CEA8352">
      <w:numFmt w:val="bullet"/>
      <w:lvlText w:val="•"/>
      <w:lvlJc w:val="left"/>
      <w:pPr>
        <w:ind w:left="549" w:hanging="186"/>
      </w:pPr>
      <w:rPr>
        <w:rFonts w:hint="default"/>
        <w:lang w:val="en-US" w:eastAsia="en-US" w:bidi="ar-SA"/>
      </w:rPr>
    </w:lvl>
    <w:lvl w:ilvl="2" w:tplc="7AEE6620">
      <w:numFmt w:val="bullet"/>
      <w:lvlText w:val="•"/>
      <w:lvlJc w:val="left"/>
      <w:pPr>
        <w:ind w:left="1019" w:hanging="186"/>
      </w:pPr>
      <w:rPr>
        <w:rFonts w:hint="default"/>
        <w:lang w:val="en-US" w:eastAsia="en-US" w:bidi="ar-SA"/>
      </w:rPr>
    </w:lvl>
    <w:lvl w:ilvl="3" w:tplc="32DA451C">
      <w:numFmt w:val="bullet"/>
      <w:lvlText w:val="•"/>
      <w:lvlJc w:val="left"/>
      <w:pPr>
        <w:ind w:left="1489" w:hanging="186"/>
      </w:pPr>
      <w:rPr>
        <w:rFonts w:hint="default"/>
        <w:lang w:val="en-US" w:eastAsia="en-US" w:bidi="ar-SA"/>
      </w:rPr>
    </w:lvl>
    <w:lvl w:ilvl="4" w:tplc="95124C8C">
      <w:numFmt w:val="bullet"/>
      <w:lvlText w:val="•"/>
      <w:lvlJc w:val="left"/>
      <w:pPr>
        <w:ind w:left="1959" w:hanging="186"/>
      </w:pPr>
      <w:rPr>
        <w:rFonts w:hint="default"/>
        <w:lang w:val="en-US" w:eastAsia="en-US" w:bidi="ar-SA"/>
      </w:rPr>
    </w:lvl>
    <w:lvl w:ilvl="5" w:tplc="1158C4FA">
      <w:numFmt w:val="bullet"/>
      <w:lvlText w:val="•"/>
      <w:lvlJc w:val="left"/>
      <w:pPr>
        <w:ind w:left="2428" w:hanging="186"/>
      </w:pPr>
      <w:rPr>
        <w:rFonts w:hint="default"/>
        <w:lang w:val="en-US" w:eastAsia="en-US" w:bidi="ar-SA"/>
      </w:rPr>
    </w:lvl>
    <w:lvl w:ilvl="6" w:tplc="525055B0">
      <w:numFmt w:val="bullet"/>
      <w:lvlText w:val="•"/>
      <w:lvlJc w:val="left"/>
      <w:pPr>
        <w:ind w:left="2898" w:hanging="186"/>
      </w:pPr>
      <w:rPr>
        <w:rFonts w:hint="default"/>
        <w:lang w:val="en-US" w:eastAsia="en-US" w:bidi="ar-SA"/>
      </w:rPr>
    </w:lvl>
    <w:lvl w:ilvl="7" w:tplc="BC1C1878">
      <w:numFmt w:val="bullet"/>
      <w:lvlText w:val="•"/>
      <w:lvlJc w:val="left"/>
      <w:pPr>
        <w:ind w:left="3368" w:hanging="186"/>
      </w:pPr>
      <w:rPr>
        <w:rFonts w:hint="default"/>
        <w:lang w:val="en-US" w:eastAsia="en-US" w:bidi="ar-SA"/>
      </w:rPr>
    </w:lvl>
    <w:lvl w:ilvl="8" w:tplc="334AEC54">
      <w:numFmt w:val="bullet"/>
      <w:lvlText w:val="•"/>
      <w:lvlJc w:val="left"/>
      <w:pPr>
        <w:ind w:left="3838" w:hanging="186"/>
      </w:pPr>
      <w:rPr>
        <w:rFonts w:hint="default"/>
        <w:lang w:val="en-US" w:eastAsia="en-US" w:bidi="ar-SA"/>
      </w:rPr>
    </w:lvl>
  </w:abstractNum>
  <w:abstractNum w:abstractNumId="1" w15:restartNumberingAfterBreak="0">
    <w:nsid w:val="128D6340"/>
    <w:multiLevelType w:val="multilevel"/>
    <w:tmpl w:val="D7B4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1704D9"/>
    <w:multiLevelType w:val="multilevel"/>
    <w:tmpl w:val="4E8A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D111D3"/>
    <w:multiLevelType w:val="hybridMultilevel"/>
    <w:tmpl w:val="142ACEE6"/>
    <w:lvl w:ilvl="0" w:tplc="FB3844CC">
      <w:start w:val="1"/>
      <w:numFmt w:val="decimal"/>
      <w:lvlText w:val="%1."/>
      <w:lvlJc w:val="left"/>
      <w:pPr>
        <w:ind w:left="183" w:hanging="186"/>
      </w:pPr>
      <w:rPr>
        <w:rFonts w:ascii="Arial Black" w:eastAsia="Arial Black" w:hAnsi="Arial Black" w:cs="Arial Black" w:hint="default"/>
        <w:b w:val="0"/>
        <w:bCs w:val="0"/>
        <w:i w:val="0"/>
        <w:iCs w:val="0"/>
        <w:spacing w:val="-1"/>
        <w:w w:val="64"/>
        <w:sz w:val="20"/>
        <w:szCs w:val="20"/>
        <w:lang w:val="en-US" w:eastAsia="en-US" w:bidi="ar-SA"/>
      </w:rPr>
    </w:lvl>
    <w:lvl w:ilvl="1" w:tplc="9F2A8E1E">
      <w:numFmt w:val="bullet"/>
      <w:lvlText w:val="•"/>
      <w:lvlJc w:val="left"/>
      <w:pPr>
        <w:ind w:left="646" w:hanging="186"/>
      </w:pPr>
      <w:rPr>
        <w:rFonts w:hint="default"/>
        <w:lang w:val="en-US" w:eastAsia="en-US" w:bidi="ar-SA"/>
      </w:rPr>
    </w:lvl>
    <w:lvl w:ilvl="2" w:tplc="8C40DB12">
      <w:numFmt w:val="bullet"/>
      <w:lvlText w:val="•"/>
      <w:lvlJc w:val="left"/>
      <w:pPr>
        <w:ind w:left="1112" w:hanging="186"/>
      </w:pPr>
      <w:rPr>
        <w:rFonts w:hint="default"/>
        <w:lang w:val="en-US" w:eastAsia="en-US" w:bidi="ar-SA"/>
      </w:rPr>
    </w:lvl>
    <w:lvl w:ilvl="3" w:tplc="FC76F86C">
      <w:numFmt w:val="bullet"/>
      <w:lvlText w:val="•"/>
      <w:lvlJc w:val="left"/>
      <w:pPr>
        <w:ind w:left="1579" w:hanging="186"/>
      </w:pPr>
      <w:rPr>
        <w:rFonts w:hint="default"/>
        <w:lang w:val="en-US" w:eastAsia="en-US" w:bidi="ar-SA"/>
      </w:rPr>
    </w:lvl>
    <w:lvl w:ilvl="4" w:tplc="EA3CC452">
      <w:numFmt w:val="bullet"/>
      <w:lvlText w:val="•"/>
      <w:lvlJc w:val="left"/>
      <w:pPr>
        <w:ind w:left="2045" w:hanging="186"/>
      </w:pPr>
      <w:rPr>
        <w:rFonts w:hint="default"/>
        <w:lang w:val="en-US" w:eastAsia="en-US" w:bidi="ar-SA"/>
      </w:rPr>
    </w:lvl>
    <w:lvl w:ilvl="5" w:tplc="14986AFC">
      <w:numFmt w:val="bullet"/>
      <w:lvlText w:val="•"/>
      <w:lvlJc w:val="left"/>
      <w:pPr>
        <w:ind w:left="2511" w:hanging="186"/>
      </w:pPr>
      <w:rPr>
        <w:rFonts w:hint="default"/>
        <w:lang w:val="en-US" w:eastAsia="en-US" w:bidi="ar-SA"/>
      </w:rPr>
    </w:lvl>
    <w:lvl w:ilvl="6" w:tplc="B970AFAA">
      <w:numFmt w:val="bullet"/>
      <w:lvlText w:val="•"/>
      <w:lvlJc w:val="left"/>
      <w:pPr>
        <w:ind w:left="2978" w:hanging="186"/>
      </w:pPr>
      <w:rPr>
        <w:rFonts w:hint="default"/>
        <w:lang w:val="en-US" w:eastAsia="en-US" w:bidi="ar-SA"/>
      </w:rPr>
    </w:lvl>
    <w:lvl w:ilvl="7" w:tplc="9D52DB0E">
      <w:numFmt w:val="bullet"/>
      <w:lvlText w:val="•"/>
      <w:lvlJc w:val="left"/>
      <w:pPr>
        <w:ind w:left="3444" w:hanging="186"/>
      </w:pPr>
      <w:rPr>
        <w:rFonts w:hint="default"/>
        <w:lang w:val="en-US" w:eastAsia="en-US" w:bidi="ar-SA"/>
      </w:rPr>
    </w:lvl>
    <w:lvl w:ilvl="8" w:tplc="4E8EF3B2">
      <w:numFmt w:val="bullet"/>
      <w:lvlText w:val="•"/>
      <w:lvlJc w:val="left"/>
      <w:pPr>
        <w:ind w:left="3911" w:hanging="186"/>
      </w:pPr>
      <w:rPr>
        <w:rFonts w:hint="default"/>
        <w:lang w:val="en-US" w:eastAsia="en-US" w:bidi="ar-SA"/>
      </w:rPr>
    </w:lvl>
  </w:abstractNum>
  <w:num w:numId="1" w16cid:durableId="154421282">
    <w:abstractNumId w:val="0"/>
  </w:num>
  <w:num w:numId="2" w16cid:durableId="18048675">
    <w:abstractNumId w:val="3"/>
  </w:num>
  <w:num w:numId="3" w16cid:durableId="1507287503">
    <w:abstractNumId w:val="2"/>
  </w:num>
  <w:num w:numId="4" w16cid:durableId="39599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A7487"/>
    <w:rsid w:val="0002761A"/>
    <w:rsid w:val="000363D2"/>
    <w:rsid w:val="00056F8D"/>
    <w:rsid w:val="00066FB4"/>
    <w:rsid w:val="000873F4"/>
    <w:rsid w:val="0009238D"/>
    <w:rsid w:val="000C664D"/>
    <w:rsid w:val="000E40FF"/>
    <w:rsid w:val="00104C9E"/>
    <w:rsid w:val="00147DFE"/>
    <w:rsid w:val="001645A9"/>
    <w:rsid w:val="001747FC"/>
    <w:rsid w:val="001754E4"/>
    <w:rsid w:val="001D1FB6"/>
    <w:rsid w:val="001E7E48"/>
    <w:rsid w:val="002740D4"/>
    <w:rsid w:val="002B1154"/>
    <w:rsid w:val="00304002"/>
    <w:rsid w:val="003311B9"/>
    <w:rsid w:val="003A778E"/>
    <w:rsid w:val="003D2EBE"/>
    <w:rsid w:val="003D3ED6"/>
    <w:rsid w:val="003E5BDA"/>
    <w:rsid w:val="003F7D07"/>
    <w:rsid w:val="004264D8"/>
    <w:rsid w:val="00432F67"/>
    <w:rsid w:val="00450EE7"/>
    <w:rsid w:val="00470532"/>
    <w:rsid w:val="004D1DE6"/>
    <w:rsid w:val="004E2262"/>
    <w:rsid w:val="00506B68"/>
    <w:rsid w:val="0056190B"/>
    <w:rsid w:val="005C505C"/>
    <w:rsid w:val="005E2755"/>
    <w:rsid w:val="005F6133"/>
    <w:rsid w:val="00603B64"/>
    <w:rsid w:val="006220BE"/>
    <w:rsid w:val="00646BDC"/>
    <w:rsid w:val="006B703F"/>
    <w:rsid w:val="00726685"/>
    <w:rsid w:val="00746FAE"/>
    <w:rsid w:val="007951FE"/>
    <w:rsid w:val="007D3013"/>
    <w:rsid w:val="0080134B"/>
    <w:rsid w:val="00804C9B"/>
    <w:rsid w:val="00846BCE"/>
    <w:rsid w:val="0085556B"/>
    <w:rsid w:val="009309C7"/>
    <w:rsid w:val="009B40B4"/>
    <w:rsid w:val="00AB4921"/>
    <w:rsid w:val="00AC2A0E"/>
    <w:rsid w:val="00B52CBA"/>
    <w:rsid w:val="00BA7487"/>
    <w:rsid w:val="00BE0A19"/>
    <w:rsid w:val="00C10FC4"/>
    <w:rsid w:val="00C226AB"/>
    <w:rsid w:val="00C43917"/>
    <w:rsid w:val="00C50099"/>
    <w:rsid w:val="00C76228"/>
    <w:rsid w:val="00CF0644"/>
    <w:rsid w:val="00DB626B"/>
    <w:rsid w:val="00DC0936"/>
    <w:rsid w:val="00DD6570"/>
    <w:rsid w:val="00EE7481"/>
    <w:rsid w:val="00F1426B"/>
    <w:rsid w:val="00F46ADD"/>
    <w:rsid w:val="00F66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87306"/>
  <w15:docId w15:val="{DDA1AC45-B215-4CD4-9A40-8BE104BE9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spacing w:before="151"/>
      <w:ind w:left="82"/>
      <w:outlineLvl w:val="0"/>
    </w:pPr>
    <w:rPr>
      <w:rFonts w:ascii="Arial Black" w:eastAsia="Arial Black" w:hAnsi="Arial Black" w:cs="Arial Black"/>
      <w:sz w:val="32"/>
      <w:szCs w:val="32"/>
    </w:rPr>
  </w:style>
  <w:style w:type="paragraph" w:styleId="Heading2">
    <w:name w:val="heading 2"/>
    <w:basedOn w:val="Normal"/>
    <w:uiPriority w:val="9"/>
    <w:unhideWhenUsed/>
    <w:qFormat/>
    <w:pPr>
      <w:ind w:left="82" w:right="649"/>
      <w:outlineLvl w:val="1"/>
    </w:pPr>
    <w:rPr>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183" w:right="261"/>
    </w:pPr>
    <w:rPr>
      <w:rFonts w:ascii="Arial Black" w:eastAsia="Arial Black" w:hAnsi="Arial Black" w:cs="Arial Black"/>
    </w:r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46ADD"/>
    <w:rPr>
      <w:color w:val="467886" w:themeColor="hyperlink"/>
      <w:u w:val="single"/>
    </w:rPr>
  </w:style>
  <w:style w:type="character" w:styleId="UnresolvedMention">
    <w:name w:val="Unresolved Mention"/>
    <w:basedOn w:val="DefaultParagraphFont"/>
    <w:uiPriority w:val="99"/>
    <w:semiHidden/>
    <w:unhideWhenUsed/>
    <w:rsid w:val="00F46ADD"/>
    <w:rPr>
      <w:color w:val="605E5C"/>
      <w:shd w:val="clear" w:color="auto" w:fill="E1DFDD"/>
    </w:rPr>
  </w:style>
  <w:style w:type="character" w:styleId="FollowedHyperlink">
    <w:name w:val="FollowedHyperlink"/>
    <w:basedOn w:val="DefaultParagraphFont"/>
    <w:uiPriority w:val="99"/>
    <w:semiHidden/>
    <w:unhideWhenUsed/>
    <w:rsid w:val="00CF064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hyperlink" Target="https://www.dailyexcelsior.com/rera-pulls-up-builder-for-handing-over-flats-without-oc/" TargetMode="External"/><Relationship Id="rId3" Type="http://schemas.openxmlformats.org/officeDocument/2006/relationships/styles" Target="styles.xml"/><Relationship Id="rId21" Type="http://schemas.openxmlformats.org/officeDocument/2006/relationships/hyperlink" Target="https://www.linkedin.com/company/proplexconsultingllp/"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lawbeat.in/supreme-court-judgments/how-to-determine-if-an-agreement-creates-a-license-or-lease-supreme-court-answers-1570108" TargetMode="External"/><Relationship Id="rId2" Type="http://schemas.openxmlformats.org/officeDocument/2006/relationships/numbering" Target="numbering.xml"/><Relationship Id="rId16" Type="http://schemas.openxmlformats.org/officeDocument/2006/relationships/hyperlink" Target="https://economictimes.indiatimes.com/wealth/legal/will/living-on-a-property-for-decades-courts-say-possession-alone-doesnt-give-you-ownership-without-proving-adverse-possession/articleshow/128963341.cms?from=mdr" TargetMode="External"/><Relationship Id="rId20" Type="http://schemas.openxmlformats.org/officeDocument/2006/relationships/hyperlink" Target="https://proplex.co.i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mesofindia.indiatimes.com/real-estate/news/understanding-rera-2-0-5-important-changes-every-homebuyer-and-developer-must-know/photostory/129085345.cm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herealtytoday.com/news/regulatory/parking-details-to-become-compulsory-for-homebuyers-under-karnataka-rera-guidelines/" TargetMode="External"/><Relationship Id="rId23" Type="http://schemas.openxmlformats.org/officeDocument/2006/relationships/fontTable" Target="fontTable.xml"/><Relationship Id="rId10" Type="http://schemas.openxmlformats.org/officeDocument/2006/relationships/hyperlink" Target="https://www.business-standard.com/finance/personal-finance/can-tenants-claim-ownership-after-decades-of-occupancy-sc-clarifies-126030500626_1.html"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thehindu.com/news/national/karnataka/there-is-no-repugnancy-between-provisions-of-rera-and-karnataka-apartment-ownership-act-karnataka-high-court/article70715598.ece" TargetMode="External"/><Relationship Id="rId22" Type="http://schemas.openxmlformats.org/officeDocument/2006/relationships/hyperlink" Target="https://proplex.co.in/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2FAE0-230F-4644-9766-42E616A47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Blue And White Illustrative Professional Marketing Agency Company Newsletter</vt:lpstr>
    </vt:vector>
  </TitlesOfParts>
  <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And White Illustrative Professional Marketing Agency Company Newsletter</dc:title>
  <dc:creator>Vedika Lohia</dc:creator>
  <cp:keywords>DAG4SldDsuo,BAGmqGKlhbc,0</cp:keywords>
  <cp:lastModifiedBy>admin2</cp:lastModifiedBy>
  <cp:revision>17</cp:revision>
  <dcterms:created xsi:type="dcterms:W3CDTF">2025-12-03T10:10:00Z</dcterms:created>
  <dcterms:modified xsi:type="dcterms:W3CDTF">2026-03-17T17:21:00Z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Canva</vt:lpwstr>
  </property>
  <property fmtid="{D5CDD505-2E9C-101B-9397-08002B2CF9AE}" pid="4" name="LastSaved">
    <vt:filetime>2025-11-10T00:00:00Z</vt:filetime>
  </property>
  <property fmtid="{D5CDD505-2E9C-101B-9397-08002B2CF9AE}" pid="5" name="Producer">
    <vt:lpwstr>Canva</vt:lpwstr>
  </property>
</Properties>
</file>